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9300" w:type="dxa"/>
        <w:tblLayout w:type="fixed"/>
        <w:tblLook w:val="04A0" w:firstRow="1" w:lastRow="0" w:firstColumn="1" w:lastColumn="0" w:noHBand="0" w:noVBand="1"/>
      </w:tblPr>
      <w:tblGrid>
        <w:gridCol w:w="6768"/>
        <w:gridCol w:w="1800"/>
        <w:gridCol w:w="1980"/>
        <w:gridCol w:w="5332"/>
        <w:gridCol w:w="1778"/>
        <w:gridCol w:w="1642"/>
      </w:tblGrid>
      <w:tr w:rsidR="004D355F" w:rsidRPr="00DD7CED" w:rsidTr="006123DB">
        <w:trPr>
          <w:tblHeader/>
        </w:trPr>
        <w:tc>
          <w:tcPr>
            <w:tcW w:w="6768" w:type="dxa"/>
          </w:tcPr>
          <w:p w:rsidR="00B01825" w:rsidRPr="00DD7CED" w:rsidRDefault="006E5E4B">
            <w:pPr>
              <w:rPr>
                <w:b/>
              </w:rPr>
            </w:pPr>
            <w:bookmarkStart w:id="0" w:name="_GoBack"/>
            <w:bookmarkEnd w:id="0"/>
            <w:r>
              <w:rPr>
                <w:b/>
                <w:sz w:val="28"/>
                <w:szCs w:val="28"/>
              </w:rPr>
              <w:t>ISLS</w:t>
            </w:r>
            <w:r w:rsidR="007E6222" w:rsidRPr="006D1481">
              <w:rPr>
                <w:b/>
                <w:sz w:val="28"/>
                <w:szCs w:val="28"/>
              </w:rPr>
              <w:t>-related p</w:t>
            </w:r>
            <w:r w:rsidR="00B01825" w:rsidRPr="006D1481">
              <w:rPr>
                <w:b/>
                <w:sz w:val="28"/>
                <w:szCs w:val="28"/>
              </w:rPr>
              <w:t>roject</w:t>
            </w:r>
            <w:r w:rsidR="00B01825" w:rsidRPr="00DD7CED">
              <w:rPr>
                <w:b/>
              </w:rPr>
              <w:t xml:space="preserve"> name, website and brief description</w:t>
            </w:r>
            <w:r w:rsidR="007E6222" w:rsidRPr="00DD7CED">
              <w:rPr>
                <w:b/>
              </w:rPr>
              <w:t xml:space="preserve"> of strategies</w:t>
            </w:r>
          </w:p>
        </w:tc>
        <w:tc>
          <w:tcPr>
            <w:tcW w:w="1800" w:type="dxa"/>
          </w:tcPr>
          <w:p w:rsidR="00B01825" w:rsidRPr="00DD7CED" w:rsidRDefault="004D355F" w:rsidP="00DD7CED">
            <w:pPr>
              <w:rPr>
                <w:b/>
              </w:rPr>
            </w:pPr>
            <w:r>
              <w:rPr>
                <w:b/>
              </w:rPr>
              <w:t xml:space="preserve">Lead </w:t>
            </w:r>
            <w:r w:rsidR="00B01825" w:rsidRPr="00DD7CED">
              <w:rPr>
                <w:b/>
              </w:rPr>
              <w:t xml:space="preserve">Agency </w:t>
            </w:r>
          </w:p>
        </w:tc>
        <w:tc>
          <w:tcPr>
            <w:tcW w:w="1980" w:type="dxa"/>
          </w:tcPr>
          <w:p w:rsidR="00B01825" w:rsidRPr="00DD7CED" w:rsidRDefault="00B01825">
            <w:pPr>
              <w:rPr>
                <w:b/>
              </w:rPr>
            </w:pPr>
            <w:r w:rsidRPr="00DD7CED">
              <w:rPr>
                <w:b/>
              </w:rPr>
              <w:t>Partners</w:t>
            </w:r>
          </w:p>
        </w:tc>
        <w:tc>
          <w:tcPr>
            <w:tcW w:w="5332" w:type="dxa"/>
          </w:tcPr>
          <w:p w:rsidR="00B01825" w:rsidRPr="00DD7CED" w:rsidRDefault="00B01825">
            <w:pPr>
              <w:rPr>
                <w:b/>
              </w:rPr>
            </w:pPr>
            <w:r w:rsidRPr="00DD7CED">
              <w:rPr>
                <w:b/>
              </w:rPr>
              <w:t>Expected Outcomes</w:t>
            </w:r>
          </w:p>
        </w:tc>
        <w:tc>
          <w:tcPr>
            <w:tcW w:w="1778" w:type="dxa"/>
          </w:tcPr>
          <w:p w:rsidR="00B01825" w:rsidRPr="00DD7CED" w:rsidRDefault="00B01825" w:rsidP="00DD7CED">
            <w:pPr>
              <w:rPr>
                <w:b/>
              </w:rPr>
            </w:pPr>
            <w:r w:rsidRPr="00DD7CED">
              <w:rPr>
                <w:b/>
              </w:rPr>
              <w:t xml:space="preserve">Funding </w:t>
            </w:r>
          </w:p>
        </w:tc>
        <w:tc>
          <w:tcPr>
            <w:tcW w:w="1642" w:type="dxa"/>
          </w:tcPr>
          <w:p w:rsidR="00B01825" w:rsidRPr="00DD7CED" w:rsidRDefault="00B01825">
            <w:pPr>
              <w:rPr>
                <w:b/>
              </w:rPr>
            </w:pPr>
            <w:r w:rsidRPr="00DD7CED">
              <w:rPr>
                <w:b/>
              </w:rPr>
              <w:t>Timeframe</w:t>
            </w:r>
          </w:p>
        </w:tc>
      </w:tr>
      <w:tr w:rsidR="004D355F" w:rsidRPr="00DD7CED" w:rsidTr="006123DB">
        <w:tc>
          <w:tcPr>
            <w:tcW w:w="6768" w:type="dxa"/>
          </w:tcPr>
          <w:p w:rsidR="00B01825" w:rsidRPr="00DD7CED" w:rsidRDefault="00B01825">
            <w:pPr>
              <w:rPr>
                <w:b/>
              </w:rPr>
            </w:pPr>
            <w:r w:rsidRPr="00DD7CED">
              <w:rPr>
                <w:b/>
              </w:rPr>
              <w:t>Improving Student Learning at Scale</w:t>
            </w:r>
          </w:p>
          <w:p w:rsidR="00B01825" w:rsidRPr="00DD7CED" w:rsidRDefault="00F72DFC">
            <w:pPr>
              <w:rPr>
                <w:rStyle w:val="Hyperlink"/>
              </w:rPr>
            </w:pPr>
            <w:hyperlink r:id="rId9" w:history="1">
              <w:r w:rsidR="00B01825" w:rsidRPr="00DD7CED">
                <w:rPr>
                  <w:rStyle w:val="Hyperlink"/>
                </w:rPr>
                <w:t>http://improvingstudentlearningatscale.wikispaces.com/</w:t>
              </w:r>
            </w:hyperlink>
          </w:p>
          <w:p w:rsidR="007E6222" w:rsidRPr="00DD7CED" w:rsidRDefault="007E6222">
            <w:r w:rsidRPr="00DD7CED">
              <w:t xml:space="preserve">Convene </w:t>
            </w:r>
            <w:r w:rsidR="00DD7CED" w:rsidRPr="00DD7CED">
              <w:t>executive leadership from key Washington education partners to collaborate and coordinate CCSS implementation efforts, including policy, communication and legislative efforts. Meet with other state teams to share best and/or promising practices.</w:t>
            </w:r>
          </w:p>
        </w:tc>
        <w:tc>
          <w:tcPr>
            <w:tcW w:w="1800" w:type="dxa"/>
          </w:tcPr>
          <w:p w:rsidR="00B01825" w:rsidRPr="00DD7CED" w:rsidRDefault="00B01825">
            <w:r w:rsidRPr="00DD7CED">
              <w:t>WSAC</w:t>
            </w:r>
          </w:p>
        </w:tc>
        <w:tc>
          <w:tcPr>
            <w:tcW w:w="1980" w:type="dxa"/>
          </w:tcPr>
          <w:p w:rsidR="00B01825" w:rsidRPr="00DD7CED" w:rsidRDefault="00B01825">
            <w:r w:rsidRPr="00DD7CED">
              <w:t>SBCTC, OSPI, SBE</w:t>
            </w:r>
            <w:r w:rsidR="00477034">
              <w:t>, COP, AWSP, ICW, LEG, GOV, WA STEM, Partnership for Learning</w:t>
            </w:r>
          </w:p>
        </w:tc>
        <w:tc>
          <w:tcPr>
            <w:tcW w:w="5332" w:type="dxa"/>
          </w:tcPr>
          <w:p w:rsidR="00B01825" w:rsidRDefault="0087154A" w:rsidP="00321389">
            <w:pPr>
              <w:pStyle w:val="ListParagraph"/>
              <w:numPr>
                <w:ilvl w:val="0"/>
                <w:numId w:val="9"/>
              </w:numPr>
            </w:pPr>
            <w:r>
              <w:t>Align legislative policy agendas</w:t>
            </w:r>
          </w:p>
          <w:p w:rsidR="0087154A" w:rsidRDefault="0087154A" w:rsidP="00321389">
            <w:pPr>
              <w:pStyle w:val="ListParagraph"/>
              <w:numPr>
                <w:ilvl w:val="0"/>
                <w:numId w:val="9"/>
              </w:numPr>
            </w:pPr>
            <w:r>
              <w:t>Facilitate planning and communication statewide</w:t>
            </w:r>
          </w:p>
          <w:p w:rsidR="0087154A" w:rsidRDefault="0087154A" w:rsidP="00321389">
            <w:pPr>
              <w:pStyle w:val="ListParagraph"/>
              <w:numPr>
                <w:ilvl w:val="0"/>
                <w:numId w:val="9"/>
              </w:numPr>
            </w:pPr>
            <w:r>
              <w:t>Develop a comprehensive communications campaign</w:t>
            </w:r>
          </w:p>
          <w:p w:rsidR="0087154A" w:rsidRPr="00DD7CED" w:rsidRDefault="0087154A" w:rsidP="00321389">
            <w:pPr>
              <w:pStyle w:val="ListParagraph"/>
              <w:numPr>
                <w:ilvl w:val="0"/>
                <w:numId w:val="9"/>
              </w:numPr>
            </w:pPr>
            <w:r>
              <w:t>Coordinate resources and assistance from a wide variety of sources</w:t>
            </w:r>
          </w:p>
        </w:tc>
        <w:tc>
          <w:tcPr>
            <w:tcW w:w="1778" w:type="dxa"/>
          </w:tcPr>
          <w:p w:rsidR="00B01825" w:rsidRPr="00DD7CED" w:rsidRDefault="00B01825">
            <w:r w:rsidRPr="00DD7CED">
              <w:t>NGA</w:t>
            </w:r>
          </w:p>
        </w:tc>
        <w:tc>
          <w:tcPr>
            <w:tcW w:w="1642" w:type="dxa"/>
          </w:tcPr>
          <w:p w:rsidR="00B01825" w:rsidRPr="00DD7CED" w:rsidRDefault="00B01825">
            <w:r w:rsidRPr="00DD7CED">
              <w:t>09/13-06/15</w:t>
            </w:r>
          </w:p>
        </w:tc>
      </w:tr>
      <w:tr w:rsidR="004D355F" w:rsidRPr="00DD7CED" w:rsidTr="006123DB">
        <w:tc>
          <w:tcPr>
            <w:tcW w:w="6768" w:type="dxa"/>
          </w:tcPr>
          <w:p w:rsidR="00B01825" w:rsidRPr="00DD7CED" w:rsidRDefault="00B01825">
            <w:pPr>
              <w:rPr>
                <w:b/>
              </w:rPr>
            </w:pPr>
            <w:r w:rsidRPr="00DD7CED">
              <w:rPr>
                <w:b/>
              </w:rPr>
              <w:t>Core to College</w:t>
            </w:r>
          </w:p>
          <w:p w:rsidR="005245E4" w:rsidRDefault="00F72DFC" w:rsidP="005245E4">
            <w:pPr>
              <w:rPr>
                <w:b/>
              </w:rPr>
            </w:pPr>
            <w:hyperlink r:id="rId10" w:history="1">
              <w:r w:rsidR="004D355F">
                <w:rPr>
                  <w:rStyle w:val="Hyperlink"/>
                </w:rPr>
                <w:t>http://www.sbctc.ctc.edu/college/education/core_to_college_update.pdf</w:t>
              </w:r>
            </w:hyperlink>
          </w:p>
          <w:p w:rsidR="005245E4" w:rsidRDefault="00F72DFC" w:rsidP="005245E4">
            <w:hyperlink r:id="rId11" w:history="1">
              <w:r w:rsidR="005245E4">
                <w:rPr>
                  <w:rStyle w:val="Hyperlink"/>
                </w:rPr>
                <w:t>http://www.rockpa.org/page.aspx?pid=580</w:t>
              </w:r>
            </w:hyperlink>
          </w:p>
          <w:p w:rsidR="004D355F" w:rsidRDefault="004D355F" w:rsidP="005245E4">
            <w:pPr>
              <w:pStyle w:val="ListParagraph"/>
              <w:numPr>
                <w:ilvl w:val="0"/>
                <w:numId w:val="2"/>
              </w:numPr>
            </w:pPr>
            <w:r>
              <w:t>Build faculty ownership and understanding of the CCSS as meaningful and useful college-readiness standards by a close review and comparison of the existing Washington college readiness standards in math and English Language Arts and their corresponding new CCSS standards</w:t>
            </w:r>
          </w:p>
          <w:p w:rsidR="004D355F" w:rsidRDefault="004D355F" w:rsidP="00EF18DA">
            <w:pPr>
              <w:pStyle w:val="ListParagraph"/>
              <w:numPr>
                <w:ilvl w:val="0"/>
                <w:numId w:val="2"/>
              </w:numPr>
            </w:pPr>
            <w:r>
              <w:t>Examine items from Smarter Balanced with this group of teachers and faculty to assess its utility for higher education as an indicator of college-readiness and placement</w:t>
            </w:r>
          </w:p>
          <w:p w:rsidR="007E6222" w:rsidRPr="00DD7CED" w:rsidRDefault="004D355F" w:rsidP="00EF18DA">
            <w:pPr>
              <w:pStyle w:val="ListParagraph"/>
              <w:numPr>
                <w:ilvl w:val="0"/>
                <w:numId w:val="2"/>
              </w:numPr>
            </w:pPr>
            <w:r>
              <w:t>Support local or regional college/school district partnerships to improve high school to college transitions through targeted plans for placement</w:t>
            </w:r>
            <w:r w:rsidR="00EF18DA">
              <w:t>, course offerings, and/or professional development focused on the CCSS and/or the Smarter Balanced assessment.</w:t>
            </w:r>
          </w:p>
          <w:p w:rsidR="00B01825" w:rsidRPr="00DD7CED" w:rsidRDefault="00B01825" w:rsidP="00524795"/>
        </w:tc>
        <w:tc>
          <w:tcPr>
            <w:tcW w:w="1800" w:type="dxa"/>
          </w:tcPr>
          <w:p w:rsidR="00B01825" w:rsidRPr="00DD7CED" w:rsidRDefault="00B01825">
            <w:r w:rsidRPr="00DD7CED">
              <w:t>SBCTC</w:t>
            </w:r>
          </w:p>
        </w:tc>
        <w:tc>
          <w:tcPr>
            <w:tcW w:w="1980" w:type="dxa"/>
          </w:tcPr>
          <w:p w:rsidR="00B01825" w:rsidRPr="00DD7CED" w:rsidRDefault="004D355F">
            <w:r>
              <w:t>OSPI, C</w:t>
            </w:r>
            <w:r w:rsidR="006E5E4B">
              <w:t>O</w:t>
            </w:r>
            <w:r>
              <w:t>P, WSAC</w:t>
            </w:r>
          </w:p>
        </w:tc>
        <w:tc>
          <w:tcPr>
            <w:tcW w:w="5332" w:type="dxa"/>
          </w:tcPr>
          <w:p w:rsidR="004D355F" w:rsidRDefault="004D355F" w:rsidP="00EF18DA">
            <w:pPr>
              <w:pStyle w:val="ListParagraph"/>
              <w:numPr>
                <w:ilvl w:val="0"/>
                <w:numId w:val="3"/>
              </w:numPr>
            </w:pPr>
            <w:r>
              <w:t>Build faculty ownership and understanding of the CCSS as meaningful and useful college-readiness standards</w:t>
            </w:r>
          </w:p>
          <w:p w:rsidR="004D355F" w:rsidRDefault="004D355F" w:rsidP="00EF18DA">
            <w:pPr>
              <w:pStyle w:val="ListParagraph"/>
              <w:numPr>
                <w:ilvl w:val="0"/>
                <w:numId w:val="3"/>
              </w:numPr>
            </w:pPr>
            <w:r>
              <w:t>Develop statewide higher education agreement on the use of the CCSS in defining Washington college-readiness standards and the role of the Smarter Balanced assessment instrument in assessing that readiness</w:t>
            </w:r>
          </w:p>
          <w:p w:rsidR="00B01825" w:rsidRPr="00DD7CED" w:rsidRDefault="004D355F" w:rsidP="00EF18DA">
            <w:pPr>
              <w:pStyle w:val="ListParagraph"/>
              <w:numPr>
                <w:ilvl w:val="0"/>
                <w:numId w:val="3"/>
              </w:numPr>
            </w:pPr>
            <w:r>
              <w:t>Promote use of the CCSS framework and Smarter Balanced assessment within higher education in ways that improve student transitions between high school and college</w:t>
            </w:r>
          </w:p>
        </w:tc>
        <w:tc>
          <w:tcPr>
            <w:tcW w:w="1778" w:type="dxa"/>
          </w:tcPr>
          <w:p w:rsidR="00B01825" w:rsidRDefault="004D355F">
            <w:r>
              <w:t>Lumina, Hewlett, Gates.</w:t>
            </w:r>
          </w:p>
          <w:p w:rsidR="004D355F" w:rsidRPr="00DD7CED" w:rsidRDefault="004D355F"/>
        </w:tc>
        <w:tc>
          <w:tcPr>
            <w:tcW w:w="1642" w:type="dxa"/>
          </w:tcPr>
          <w:p w:rsidR="00B01825" w:rsidRPr="00DD7CED" w:rsidRDefault="00892FC5">
            <w:r>
              <w:t>01/12-12/14 (possible extension to 05/14)</w:t>
            </w:r>
          </w:p>
        </w:tc>
      </w:tr>
      <w:tr w:rsidR="004D355F" w:rsidRPr="00DD7CED" w:rsidTr="006123DB">
        <w:tc>
          <w:tcPr>
            <w:tcW w:w="6768" w:type="dxa"/>
          </w:tcPr>
          <w:p w:rsidR="00B01825" w:rsidRPr="00DD7CED" w:rsidRDefault="006123DB">
            <w:pPr>
              <w:rPr>
                <w:b/>
              </w:rPr>
            </w:pPr>
            <w:r>
              <w:rPr>
                <w:b/>
              </w:rPr>
              <w:t xml:space="preserve">Statewide </w:t>
            </w:r>
            <w:r w:rsidR="000D5387">
              <w:rPr>
                <w:b/>
              </w:rPr>
              <w:t>Implementation of Career and College Ready (CCR) Learning Standards (Common Core State Standards and Next Generation Science Standards)</w:t>
            </w:r>
          </w:p>
          <w:p w:rsidR="00B01825" w:rsidRDefault="00F72DFC">
            <w:pPr>
              <w:rPr>
                <w:rStyle w:val="Hyperlink"/>
              </w:rPr>
            </w:pPr>
            <w:hyperlink r:id="rId12" w:history="1">
              <w:r w:rsidR="00B01825" w:rsidRPr="00DD7CED">
                <w:rPr>
                  <w:rStyle w:val="Hyperlink"/>
                </w:rPr>
                <w:t>http://www.k12.wa.us/Corestandards/default.aspx</w:t>
              </w:r>
            </w:hyperlink>
          </w:p>
          <w:p w:rsidR="000D5387" w:rsidRPr="000D5387" w:rsidRDefault="00F72DFC">
            <w:pPr>
              <w:rPr>
                <w:rStyle w:val="Hyperlink"/>
                <w:highlight w:val="yellow"/>
              </w:rPr>
            </w:pPr>
            <w:hyperlink r:id="rId13" w:history="1">
              <w:r w:rsidR="009F016A" w:rsidRPr="0068704A">
                <w:rPr>
                  <w:rStyle w:val="Hyperlink"/>
                </w:rPr>
                <w:t>http://www.k12.wa.us/SMARTER/default.aspx</w:t>
              </w:r>
            </w:hyperlink>
            <w:r w:rsidR="009F016A">
              <w:rPr>
                <w:rStyle w:val="Hyperlink"/>
              </w:rPr>
              <w:t xml:space="preserve"> </w:t>
            </w:r>
          </w:p>
          <w:p w:rsidR="000D5387" w:rsidRDefault="00F72DFC">
            <w:pPr>
              <w:rPr>
                <w:rStyle w:val="Hyperlink"/>
              </w:rPr>
            </w:pPr>
            <w:hyperlink r:id="rId14" w:history="1">
              <w:r w:rsidR="009F016A" w:rsidRPr="0068704A">
                <w:rPr>
                  <w:rStyle w:val="Hyperlink"/>
                </w:rPr>
                <w:t>http://www.k12.wa.us/Science/NGSS.aspx</w:t>
              </w:r>
            </w:hyperlink>
            <w:r w:rsidR="009F016A">
              <w:rPr>
                <w:rStyle w:val="Hyperlink"/>
              </w:rPr>
              <w:t xml:space="preserve"> </w:t>
            </w:r>
          </w:p>
          <w:p w:rsidR="000D5387" w:rsidRPr="000D5387" w:rsidRDefault="000D5387" w:rsidP="000D5387">
            <w:pPr>
              <w:rPr>
                <w:rFonts w:cs="Times New Roman"/>
                <w:b/>
                <w:bCs/>
              </w:rPr>
            </w:pPr>
            <w:r w:rsidRPr="000D5387">
              <w:rPr>
                <w:rFonts w:cs="Times New Roman"/>
                <w:b/>
                <w:bCs/>
              </w:rPr>
              <w:t>Our Vision for Implementation:</w:t>
            </w:r>
            <w:r w:rsidRPr="000D5387">
              <w:rPr>
                <w:rFonts w:cs="Times New Roman"/>
                <w:bCs/>
              </w:rPr>
              <w:t xml:space="preserve">  Every student will have access to the Career- and College-Ready (CCR) standards through high quality instruction aligned with the standards every day; and that </w:t>
            </w:r>
            <w:r w:rsidRPr="000D5387">
              <w:rPr>
                <w:rFonts w:cs="Times New Roman"/>
                <w:b/>
                <w:bCs/>
                <w:u w:val="single"/>
              </w:rPr>
              <w:t>all teachers</w:t>
            </w:r>
            <w:r w:rsidRPr="000D5387">
              <w:rPr>
                <w:rFonts w:cs="Times New Roman"/>
                <w:bCs/>
              </w:rPr>
              <w:t xml:space="preserve"> are prepared and receive the support they need to implement the </w:t>
            </w:r>
            <w:r w:rsidRPr="000D5387">
              <w:rPr>
                <w:rFonts w:cs="Times New Roman"/>
                <w:bCs/>
              </w:rPr>
              <w:lastRenderedPageBreak/>
              <w:t>standards in their classrooms every day.</w:t>
            </w:r>
          </w:p>
          <w:p w:rsidR="000D5387" w:rsidRPr="00767B7B" w:rsidRDefault="000D5387" w:rsidP="000D5387">
            <w:pPr>
              <w:rPr>
                <w:rFonts w:cs="Times New Roman"/>
                <w:b/>
                <w:bCs/>
                <w:sz w:val="16"/>
                <w:szCs w:val="16"/>
              </w:rPr>
            </w:pPr>
          </w:p>
          <w:p w:rsidR="000D5387" w:rsidRPr="000D5387" w:rsidRDefault="000D5387" w:rsidP="000D5387">
            <w:pPr>
              <w:rPr>
                <w:rFonts w:cstheme="minorHAnsi"/>
                <w:bCs/>
              </w:rPr>
            </w:pPr>
            <w:r w:rsidRPr="000D5387">
              <w:rPr>
                <w:rFonts w:cs="Times New Roman"/>
                <w:b/>
                <w:bCs/>
              </w:rPr>
              <w:t xml:space="preserve">Our </w:t>
            </w:r>
            <w:r w:rsidRPr="000D5387">
              <w:rPr>
                <w:rFonts w:cstheme="minorHAnsi"/>
                <w:b/>
                <w:bCs/>
              </w:rPr>
              <w:t>Purpose:</w:t>
            </w:r>
            <w:r w:rsidRPr="000D5387">
              <w:rPr>
                <w:rFonts w:cstheme="minorHAnsi"/>
                <w:bCs/>
              </w:rPr>
              <w:t xml:space="preserve">  To develop a </w:t>
            </w:r>
            <w:r w:rsidRPr="000D5387">
              <w:rPr>
                <w:rFonts w:cstheme="minorHAnsi"/>
                <w:b/>
                <w:bCs/>
                <w:u w:val="single"/>
              </w:rPr>
              <w:t>statewide system</w:t>
            </w:r>
            <w:r w:rsidRPr="000D5387">
              <w:rPr>
                <w:rFonts w:cstheme="minorHAnsi"/>
                <w:bCs/>
              </w:rPr>
              <w:t xml:space="preserve"> that supports all school districts in their preparation of educators and students to implement CCR standards using a 2-pronged approach focused on:</w:t>
            </w:r>
          </w:p>
          <w:p w:rsidR="000D5387" w:rsidRPr="000D5387" w:rsidRDefault="000D5387" w:rsidP="000D5387">
            <w:pPr>
              <w:pStyle w:val="ListParagraph"/>
              <w:numPr>
                <w:ilvl w:val="0"/>
                <w:numId w:val="22"/>
              </w:numPr>
              <w:rPr>
                <w:rFonts w:cstheme="minorHAnsi"/>
                <w:bCs/>
              </w:rPr>
            </w:pPr>
            <w:r w:rsidRPr="000D5387">
              <w:rPr>
                <w:rFonts w:cstheme="minorHAnsi"/>
                <w:b/>
                <w:bCs/>
                <w:u w:val="single"/>
              </w:rPr>
              <w:t>The “What”: Key Content Shifts</w:t>
            </w:r>
            <w:r w:rsidRPr="000D5387">
              <w:rPr>
                <w:rFonts w:cstheme="minorHAnsi"/>
                <w:bCs/>
              </w:rPr>
              <w:t xml:space="preserve"> </w:t>
            </w:r>
          </w:p>
          <w:p w:rsidR="000D5387" w:rsidRPr="000D5387" w:rsidRDefault="000D5387" w:rsidP="000D5387">
            <w:pPr>
              <w:pStyle w:val="ListParagraph"/>
              <w:numPr>
                <w:ilvl w:val="0"/>
                <w:numId w:val="22"/>
              </w:numPr>
              <w:rPr>
                <w:rFonts w:cstheme="minorHAnsi"/>
                <w:bCs/>
              </w:rPr>
            </w:pPr>
            <w:r w:rsidRPr="000D5387">
              <w:rPr>
                <w:rFonts w:cstheme="minorHAnsi"/>
                <w:b/>
                <w:bCs/>
                <w:u w:val="single"/>
              </w:rPr>
              <w:t>The “How”:</w:t>
            </w:r>
            <w:r w:rsidRPr="000D5387">
              <w:rPr>
                <w:rFonts w:cstheme="minorHAnsi"/>
                <w:bCs/>
              </w:rPr>
              <w:t xml:space="preserve"> </w:t>
            </w:r>
            <w:r w:rsidRPr="000D5387">
              <w:rPr>
                <w:rFonts w:cstheme="minorHAnsi"/>
                <w:b/>
                <w:bCs/>
                <w:u w:val="single"/>
              </w:rPr>
              <w:t>System “Remodeling</w:t>
            </w:r>
            <w:r w:rsidRPr="000D5387">
              <w:rPr>
                <w:rFonts w:cstheme="minorHAnsi"/>
                <w:bCs/>
              </w:rPr>
              <w:t xml:space="preserve">” to support building capacity for </w:t>
            </w:r>
            <w:r w:rsidRPr="000D5387">
              <w:rPr>
                <w:rFonts w:cstheme="minorHAnsi"/>
                <w:bCs/>
                <w:iCs/>
                <w:u w:val="single"/>
              </w:rPr>
              <w:t>sustained professional learning</w:t>
            </w:r>
            <w:r w:rsidRPr="000D5387">
              <w:rPr>
                <w:rFonts w:cstheme="minorHAnsi"/>
                <w:bCs/>
                <w:iCs/>
              </w:rPr>
              <w:t xml:space="preserve"> that supports implementation</w:t>
            </w:r>
            <w:r w:rsidRPr="000D5387">
              <w:rPr>
                <w:rFonts w:cstheme="minorHAnsi"/>
                <w:bCs/>
                <w:iCs/>
                <w:u w:val="single"/>
              </w:rPr>
              <w:t xml:space="preserve"> </w:t>
            </w:r>
            <w:r w:rsidRPr="000D5387">
              <w:rPr>
                <w:rFonts w:cstheme="minorHAnsi"/>
                <w:bCs/>
                <w:iCs/>
              </w:rPr>
              <w:t xml:space="preserve">now and </w:t>
            </w:r>
            <w:r w:rsidRPr="000D5387">
              <w:rPr>
                <w:rFonts w:cstheme="minorHAnsi"/>
                <w:bCs/>
                <w:iCs/>
                <w:u w:val="single"/>
              </w:rPr>
              <w:t xml:space="preserve">be applied to other initiatives </w:t>
            </w:r>
            <w:r w:rsidRPr="000D5387">
              <w:rPr>
                <w:rFonts w:cstheme="minorHAnsi"/>
                <w:bCs/>
                <w:iCs/>
              </w:rPr>
              <w:t xml:space="preserve">in the future. </w:t>
            </w:r>
          </w:p>
          <w:p w:rsidR="000D5387" w:rsidRPr="000D5387" w:rsidRDefault="000D5387" w:rsidP="000D5387">
            <w:pPr>
              <w:pStyle w:val="ListParagraph"/>
              <w:rPr>
                <w:rFonts w:cstheme="minorHAnsi"/>
                <w:bCs/>
              </w:rPr>
            </w:pPr>
          </w:p>
          <w:p w:rsidR="000D5387" w:rsidRPr="000D5387" w:rsidRDefault="000D5387" w:rsidP="000D5387">
            <w:pPr>
              <w:rPr>
                <w:rFonts w:cs="Times New Roman"/>
                <w:bCs/>
              </w:rPr>
            </w:pPr>
            <w:r w:rsidRPr="000D5387">
              <w:rPr>
                <w:rFonts w:cs="Times New Roman"/>
                <w:b/>
                <w:bCs/>
              </w:rPr>
              <w:t>Our Core Values:</w:t>
            </w:r>
            <w:r w:rsidRPr="000D5387">
              <w:rPr>
                <w:rFonts w:cs="Times New Roman"/>
                <w:bCs/>
              </w:rPr>
              <w:t xml:space="preserve">  This vision can only occur through core values of </w:t>
            </w:r>
            <w:r w:rsidRPr="000D5387">
              <w:rPr>
                <w:rFonts w:cs="Times New Roman"/>
                <w:bCs/>
                <w:u w:val="single"/>
              </w:rPr>
              <w:t>clarity</w:t>
            </w:r>
            <w:r w:rsidRPr="000D5387">
              <w:rPr>
                <w:rFonts w:cs="Times New Roman"/>
                <w:bCs/>
              </w:rPr>
              <w:t xml:space="preserve">, </w:t>
            </w:r>
            <w:r w:rsidRPr="000D5387">
              <w:rPr>
                <w:rFonts w:cs="Times New Roman"/>
                <w:bCs/>
                <w:u w:val="single"/>
              </w:rPr>
              <w:t>consistenc</w:t>
            </w:r>
            <w:r w:rsidRPr="000D5387">
              <w:rPr>
                <w:rFonts w:cs="Times New Roman"/>
                <w:bCs/>
              </w:rPr>
              <w:t xml:space="preserve">y, </w:t>
            </w:r>
            <w:r w:rsidRPr="000D5387">
              <w:rPr>
                <w:rFonts w:cs="Times New Roman"/>
                <w:bCs/>
                <w:u w:val="single"/>
              </w:rPr>
              <w:t>collaboration</w:t>
            </w:r>
            <w:r w:rsidRPr="000D5387">
              <w:rPr>
                <w:rFonts w:cs="Times New Roman"/>
                <w:bCs/>
              </w:rPr>
              <w:t xml:space="preserve">, </w:t>
            </w:r>
            <w:r w:rsidRPr="000D5387">
              <w:rPr>
                <w:rFonts w:cs="Times New Roman"/>
                <w:bCs/>
                <w:u w:val="single"/>
              </w:rPr>
              <w:t>coordination</w:t>
            </w:r>
            <w:r w:rsidRPr="000D5387">
              <w:rPr>
                <w:rFonts w:cs="Times New Roman"/>
                <w:bCs/>
              </w:rPr>
              <w:t xml:space="preserve">, and </w:t>
            </w:r>
            <w:r w:rsidRPr="000D5387">
              <w:rPr>
                <w:rFonts w:cs="Times New Roman"/>
                <w:bCs/>
                <w:u w:val="single"/>
              </w:rPr>
              <w:t>commitment</w:t>
            </w:r>
            <w:r w:rsidRPr="000D5387">
              <w:rPr>
                <w:rFonts w:cs="Times New Roman"/>
                <w:bCs/>
              </w:rPr>
              <w:t xml:space="preserve"> from classrooms, schools, and communities to the state level. </w:t>
            </w:r>
          </w:p>
          <w:p w:rsidR="000D5387" w:rsidRPr="000D5387" w:rsidRDefault="000D5387"/>
          <w:p w:rsidR="000D5387" w:rsidRPr="000D5387" w:rsidRDefault="000D5387">
            <w:r w:rsidRPr="000D5387">
              <w:t>Key efforts include:</w:t>
            </w:r>
          </w:p>
          <w:p w:rsidR="009A2B3F" w:rsidRDefault="006123DB" w:rsidP="006123DB">
            <w:pPr>
              <w:pStyle w:val="ListParagraph"/>
              <w:numPr>
                <w:ilvl w:val="0"/>
                <w:numId w:val="20"/>
              </w:numPr>
            </w:pPr>
            <w:r w:rsidRPr="000D5387">
              <w:t xml:space="preserve">Provide access </w:t>
            </w:r>
            <w:r>
              <w:t xml:space="preserve">to high quality state and national resources for districts, buildings, and classrooms to support transitions to the CCSS </w:t>
            </w:r>
            <w:r w:rsidR="009F016A">
              <w:t>and NGSS</w:t>
            </w:r>
            <w:r>
              <w:t>.</w:t>
            </w:r>
            <w:r w:rsidR="009F016A">
              <w:t xml:space="preserve"> (including “crosswalks” for navigating CCSS and CTE Frameworks)</w:t>
            </w:r>
          </w:p>
          <w:p w:rsidR="006123DB" w:rsidRDefault="006123DB" w:rsidP="006123DB">
            <w:pPr>
              <w:pStyle w:val="ListParagraph"/>
              <w:numPr>
                <w:ilvl w:val="0"/>
                <w:numId w:val="20"/>
              </w:numPr>
            </w:pPr>
            <w:r>
              <w:t>Partnerships established to support statewide implementation – formally (thr</w:t>
            </w:r>
            <w:r w:rsidR="003E03FE">
              <w:t>ough public and private funding o</w:t>
            </w:r>
            <w:r>
              <w:t>pportunities/grants) and informally through collaborative activities</w:t>
            </w:r>
            <w:r w:rsidR="00185EB8">
              <w:t xml:space="preserve">. </w:t>
            </w:r>
          </w:p>
          <w:p w:rsidR="00E9346E" w:rsidRDefault="00E9346E" w:rsidP="006123DB">
            <w:pPr>
              <w:pStyle w:val="ListParagraph"/>
              <w:numPr>
                <w:ilvl w:val="0"/>
                <w:numId w:val="20"/>
              </w:numPr>
            </w:pPr>
            <w:r>
              <w:t>Convene education association partners 2x/year to collaborate and develop strategies for supporting connected professional learning statewide activities related to CCSS and NGSS transitions.</w:t>
            </w:r>
          </w:p>
          <w:p w:rsidR="006123DB" w:rsidRDefault="00185EB8" w:rsidP="00185EB8">
            <w:pPr>
              <w:pStyle w:val="ListParagraph"/>
              <w:numPr>
                <w:ilvl w:val="0"/>
                <w:numId w:val="20"/>
              </w:numPr>
            </w:pPr>
            <w:r>
              <w:t>Engage educators from across Washington in the development and refinement of Smarter Balanced Assessment System components including through item writing workshops; membership in the State Network of Educators (SNE) to populate the Smarter Balanced Digital Library; etc.</w:t>
            </w:r>
          </w:p>
          <w:p w:rsidR="00185EB8" w:rsidRDefault="00185EB8" w:rsidP="00185EB8">
            <w:pPr>
              <w:pStyle w:val="ListParagraph"/>
              <w:numPr>
                <w:ilvl w:val="0"/>
                <w:numId w:val="20"/>
              </w:numPr>
            </w:pPr>
            <w:r>
              <w:t xml:space="preserve">Work with the AESD network to engage district, building, and teacher leaders to support local, regional, and statewide </w:t>
            </w:r>
            <w:r w:rsidR="009F016A">
              <w:t xml:space="preserve">CCR </w:t>
            </w:r>
            <w:r>
              <w:t>implementation efforts.</w:t>
            </w:r>
          </w:p>
          <w:p w:rsidR="00E9346E" w:rsidRPr="00E9346E" w:rsidRDefault="00E9346E" w:rsidP="00E9346E">
            <w:pPr>
              <w:pStyle w:val="ListParagraph"/>
              <w:numPr>
                <w:ilvl w:val="0"/>
                <w:numId w:val="20"/>
              </w:numPr>
              <w:rPr>
                <w:b/>
              </w:rPr>
            </w:pPr>
            <w:r>
              <w:lastRenderedPageBreak/>
              <w:t>Provide grants to school districts and regions to support building professional learning systems necessary for strong CCSS/NGSS transitions (</w:t>
            </w:r>
            <w:hyperlink r:id="rId15" w:history="1">
              <w:r w:rsidRPr="00E9346E">
                <w:rPr>
                  <w:rStyle w:val="Hyperlink"/>
                  <w:b/>
                </w:rPr>
                <w:t>http://www.k12.wa.us/Communications/PressReleases2013/GatesFoundationGrant.aspx</w:t>
              </w:r>
            </w:hyperlink>
            <w:r w:rsidRPr="00E9346E">
              <w:rPr>
                <w:b/>
              </w:rPr>
              <w:t>)</w:t>
            </w:r>
          </w:p>
          <w:p w:rsidR="00185EB8" w:rsidRDefault="00185EB8" w:rsidP="00185EB8">
            <w:pPr>
              <w:pStyle w:val="ListParagraph"/>
              <w:numPr>
                <w:ilvl w:val="0"/>
                <w:numId w:val="20"/>
              </w:numPr>
            </w:pPr>
            <w:r>
              <w:t xml:space="preserve">Participate in and inform the progress (and associated supports delivered through) the </w:t>
            </w:r>
            <w:proofErr w:type="spellStart"/>
            <w:r>
              <w:t>ReadyWA</w:t>
            </w:r>
            <w:proofErr w:type="spellEnd"/>
            <w:r>
              <w:t xml:space="preserve"> Communications Coalition.</w:t>
            </w:r>
          </w:p>
          <w:p w:rsidR="00B01825" w:rsidRPr="00DD7CED" w:rsidRDefault="00B01825">
            <w:pPr>
              <w:rPr>
                <w:b/>
              </w:rPr>
            </w:pPr>
          </w:p>
        </w:tc>
        <w:tc>
          <w:tcPr>
            <w:tcW w:w="1800" w:type="dxa"/>
          </w:tcPr>
          <w:p w:rsidR="00B01825" w:rsidRPr="00DD7CED" w:rsidRDefault="00B01825">
            <w:r w:rsidRPr="00DD7CED">
              <w:lastRenderedPageBreak/>
              <w:t>OSPI</w:t>
            </w:r>
          </w:p>
        </w:tc>
        <w:tc>
          <w:tcPr>
            <w:tcW w:w="1980" w:type="dxa"/>
          </w:tcPr>
          <w:p w:rsidR="00B01825" w:rsidRDefault="00185EB8">
            <w:r>
              <w:t>Association of Educational Service Districts (AESD)</w:t>
            </w:r>
          </w:p>
          <w:p w:rsidR="00185EB8" w:rsidRDefault="00185EB8"/>
          <w:p w:rsidR="00185EB8" w:rsidRDefault="00185EB8">
            <w:r>
              <w:t xml:space="preserve">State education and professional learning associations (such as AWSP, WASA, WEA, WASACD, </w:t>
            </w:r>
            <w:r w:rsidR="009F016A">
              <w:lastRenderedPageBreak/>
              <w:t xml:space="preserve">WTECB, WACTE, </w:t>
            </w:r>
            <w:r>
              <w:t xml:space="preserve">Learning Forward WA, </w:t>
            </w:r>
            <w:r w:rsidR="009F016A">
              <w:t xml:space="preserve">LASER, WA-STEM, </w:t>
            </w:r>
            <w:r>
              <w:t>etc.)</w:t>
            </w:r>
          </w:p>
          <w:p w:rsidR="00185EB8" w:rsidRDefault="00185EB8"/>
          <w:p w:rsidR="00185EB8" w:rsidRDefault="00185EB8">
            <w:r>
              <w:t>Private partners including Partnership for Learning, College Spark, Gates Foundation, etc.</w:t>
            </w:r>
          </w:p>
          <w:p w:rsidR="00185EB8" w:rsidRDefault="00185EB8"/>
          <w:p w:rsidR="00185EB8" w:rsidRPr="00DD7CED" w:rsidRDefault="00185EB8"/>
        </w:tc>
        <w:tc>
          <w:tcPr>
            <w:tcW w:w="5332" w:type="dxa"/>
          </w:tcPr>
          <w:p w:rsidR="00E9346E" w:rsidRDefault="00E9346E" w:rsidP="00E9346E">
            <w:pPr>
              <w:pStyle w:val="ListParagraph"/>
              <w:numPr>
                <w:ilvl w:val="0"/>
                <w:numId w:val="21"/>
              </w:numPr>
              <w:rPr>
                <w:rFonts w:cs="Helvetica"/>
                <w:color w:val="333333"/>
              </w:rPr>
            </w:pPr>
            <w:r>
              <w:rPr>
                <w:rFonts w:cs="Helvetica"/>
                <w:color w:val="333333"/>
              </w:rPr>
              <w:lastRenderedPageBreak/>
              <w:t xml:space="preserve">Provide an increased educator support system so that every educator meets professional expectations and every student meets new college and career readiness learning standards </w:t>
            </w:r>
          </w:p>
          <w:p w:rsidR="006123DB" w:rsidRPr="00185EB8" w:rsidRDefault="006123DB" w:rsidP="00E9346E">
            <w:pPr>
              <w:pStyle w:val="ListParagraph"/>
              <w:numPr>
                <w:ilvl w:val="0"/>
                <w:numId w:val="21"/>
              </w:numPr>
            </w:pPr>
            <w:r w:rsidRPr="00185EB8">
              <w:t>Educators have easy access to high quality, aligned resources to support CCSS and NGSS transitions.</w:t>
            </w:r>
          </w:p>
          <w:p w:rsidR="006123DB" w:rsidRPr="00185EB8" w:rsidRDefault="006123DB" w:rsidP="00E9346E">
            <w:pPr>
              <w:pStyle w:val="ListParagraph"/>
              <w:numPr>
                <w:ilvl w:val="0"/>
                <w:numId w:val="21"/>
              </w:numPr>
            </w:pPr>
            <w:r w:rsidRPr="00185EB8">
              <w:t xml:space="preserve">Stakeholders have easy access to strong and clear communications and implementation resources to support </w:t>
            </w:r>
            <w:r w:rsidR="009F016A">
              <w:t>CCR</w:t>
            </w:r>
            <w:r w:rsidRPr="00185EB8">
              <w:t xml:space="preserve"> transitions. </w:t>
            </w:r>
          </w:p>
          <w:p w:rsidR="006123DB" w:rsidRPr="00185EB8" w:rsidRDefault="00185EB8" w:rsidP="00E9346E">
            <w:pPr>
              <w:pStyle w:val="ListParagraph"/>
              <w:numPr>
                <w:ilvl w:val="0"/>
                <w:numId w:val="21"/>
              </w:numPr>
            </w:pPr>
            <w:r w:rsidRPr="00185EB8">
              <w:lastRenderedPageBreak/>
              <w:t>State education partners provide consistent and aligned support to constituents (and educators) to support strong CCSS transitions.</w:t>
            </w:r>
          </w:p>
          <w:p w:rsidR="00B01825" w:rsidRPr="00DD7CED" w:rsidRDefault="00B01825" w:rsidP="00E9346E">
            <w:pPr>
              <w:ind w:left="360"/>
            </w:pPr>
          </w:p>
        </w:tc>
        <w:tc>
          <w:tcPr>
            <w:tcW w:w="1778" w:type="dxa"/>
          </w:tcPr>
          <w:p w:rsidR="00B01825" w:rsidRDefault="006123DB">
            <w:r>
              <w:lastRenderedPageBreak/>
              <w:t>OSPI activities embedded within existing state funds</w:t>
            </w:r>
          </w:p>
          <w:p w:rsidR="006123DB" w:rsidRDefault="006123DB"/>
          <w:p w:rsidR="006123DB" w:rsidRDefault="006123DB">
            <w:r>
              <w:t>Federal funds leveraged through Title II A and B</w:t>
            </w:r>
          </w:p>
          <w:p w:rsidR="006123DB" w:rsidRDefault="006123DB"/>
          <w:p w:rsidR="006123DB" w:rsidRDefault="006123DB">
            <w:r>
              <w:lastRenderedPageBreak/>
              <w:t>Private funds for communications campaign (through Partnership for Learning)</w:t>
            </w:r>
          </w:p>
          <w:p w:rsidR="006123DB" w:rsidRDefault="006123DB"/>
          <w:p w:rsidR="006123DB" w:rsidRDefault="006123DB">
            <w:r>
              <w:t>Private funds to support district implementation efforts</w:t>
            </w:r>
            <w:r w:rsidR="009F016A">
              <w:t xml:space="preserve"> (e.g., Gates Foundation; </w:t>
            </w:r>
            <w:proofErr w:type="spellStart"/>
            <w:r w:rsidR="009F016A">
              <w:t>Batelle</w:t>
            </w:r>
            <w:proofErr w:type="spellEnd"/>
            <w:r w:rsidR="009F016A">
              <w:t>; etc.)</w:t>
            </w:r>
          </w:p>
          <w:p w:rsidR="009F016A" w:rsidRDefault="009F016A"/>
          <w:p w:rsidR="009F016A" w:rsidRPr="00DD7CED" w:rsidRDefault="009F016A">
            <w:r>
              <w:t>Leveraged funds from a variety of public &amp; private sources (such as LASER and statewide Science/STEM Education activities)</w:t>
            </w:r>
          </w:p>
        </w:tc>
        <w:tc>
          <w:tcPr>
            <w:tcW w:w="1642" w:type="dxa"/>
          </w:tcPr>
          <w:p w:rsidR="006123DB" w:rsidRDefault="006123DB">
            <w:r>
              <w:lastRenderedPageBreak/>
              <w:t>Ongoing</w:t>
            </w:r>
          </w:p>
          <w:p w:rsidR="00B01825" w:rsidRPr="00DD7CED" w:rsidRDefault="006123DB">
            <w:r>
              <w:t>(Statewide assessment operational in 2014-15)</w:t>
            </w:r>
            <w:r w:rsidR="00B01825" w:rsidRPr="00DD7CED">
              <w:t xml:space="preserve"> </w:t>
            </w:r>
          </w:p>
        </w:tc>
      </w:tr>
      <w:tr w:rsidR="009F016A" w:rsidRPr="00DD7CED" w:rsidTr="006123DB">
        <w:tc>
          <w:tcPr>
            <w:tcW w:w="6768" w:type="dxa"/>
          </w:tcPr>
          <w:p w:rsidR="009F016A" w:rsidRDefault="009F016A">
            <w:pPr>
              <w:rPr>
                <w:b/>
              </w:rPr>
            </w:pPr>
            <w:r>
              <w:rPr>
                <w:b/>
              </w:rPr>
              <w:lastRenderedPageBreak/>
              <w:t>OSPI Curriculum Advisory and Review Committee (CARC)</w:t>
            </w:r>
          </w:p>
          <w:p w:rsidR="009F016A" w:rsidRPr="00421F26" w:rsidRDefault="009F016A" w:rsidP="009F016A">
            <w:pPr>
              <w:pStyle w:val="ListParagraph"/>
              <w:numPr>
                <w:ilvl w:val="0"/>
                <w:numId w:val="23"/>
              </w:numPr>
            </w:pPr>
            <w:r w:rsidRPr="00421F26">
              <w:rPr>
                <w:bCs/>
                <w:u w:val="single"/>
              </w:rPr>
              <w:t>Role and Purpose:</w:t>
            </w:r>
          </w:p>
          <w:p w:rsidR="009F016A" w:rsidRPr="00421F26" w:rsidRDefault="00451B21" w:rsidP="009F016A">
            <w:pPr>
              <w:pStyle w:val="ListParagraph"/>
              <w:numPr>
                <w:ilvl w:val="0"/>
                <w:numId w:val="25"/>
              </w:numPr>
            </w:pPr>
            <w:r w:rsidRPr="00421F26">
              <w:t>Serve as the primary sounding board for OSPI curriculum and instruction issues</w:t>
            </w:r>
          </w:p>
          <w:p w:rsidR="009F016A" w:rsidRPr="00421F26" w:rsidRDefault="00451B21" w:rsidP="009F016A">
            <w:pPr>
              <w:pStyle w:val="ListParagraph"/>
              <w:numPr>
                <w:ilvl w:val="0"/>
                <w:numId w:val="25"/>
              </w:numPr>
            </w:pPr>
            <w:r w:rsidRPr="00421F26">
              <w:t>Provide perspective, information, advice, guidance, and recommendations to OSPI on teaching and learning issues that affect all districts.</w:t>
            </w:r>
          </w:p>
          <w:p w:rsidR="00AE1574" w:rsidRPr="00421F26" w:rsidRDefault="00451B21" w:rsidP="009F016A">
            <w:pPr>
              <w:pStyle w:val="ListParagraph"/>
              <w:numPr>
                <w:ilvl w:val="0"/>
                <w:numId w:val="25"/>
              </w:numPr>
            </w:pPr>
            <w:r w:rsidRPr="00421F26">
              <w:t>Make recommendations to the State Superintendent as to the revision and adoption of state learning standards.</w:t>
            </w:r>
          </w:p>
          <w:p w:rsidR="009F016A" w:rsidRPr="009F016A" w:rsidRDefault="009F016A" w:rsidP="00421F26">
            <w:pPr>
              <w:pStyle w:val="ListParagraph"/>
              <w:rPr>
                <w:b/>
              </w:rPr>
            </w:pPr>
          </w:p>
        </w:tc>
        <w:tc>
          <w:tcPr>
            <w:tcW w:w="1800" w:type="dxa"/>
          </w:tcPr>
          <w:p w:rsidR="009F016A" w:rsidRPr="00DD7CED" w:rsidRDefault="00421F26">
            <w:r>
              <w:t>OSPI</w:t>
            </w:r>
          </w:p>
        </w:tc>
        <w:tc>
          <w:tcPr>
            <w:tcW w:w="1980" w:type="dxa"/>
          </w:tcPr>
          <w:p w:rsidR="009F016A" w:rsidRDefault="00421F26">
            <w:r>
              <w:t>AESD, School District Teaching and Learning/Curriculum Assistant Superintendents</w:t>
            </w:r>
          </w:p>
        </w:tc>
        <w:tc>
          <w:tcPr>
            <w:tcW w:w="5332" w:type="dxa"/>
          </w:tcPr>
          <w:p w:rsidR="009F016A" w:rsidRDefault="00421F26" w:rsidP="00E9346E">
            <w:pPr>
              <w:pStyle w:val="ListParagraph"/>
              <w:numPr>
                <w:ilvl w:val="0"/>
                <w:numId w:val="21"/>
              </w:numPr>
              <w:rPr>
                <w:rFonts w:cs="Helvetica"/>
                <w:color w:val="333333"/>
              </w:rPr>
            </w:pPr>
            <w:r>
              <w:rPr>
                <w:rFonts w:cs="Helvetica"/>
                <w:color w:val="333333"/>
              </w:rPr>
              <w:t xml:space="preserve">Use input and </w:t>
            </w:r>
            <w:proofErr w:type="gramStart"/>
            <w:r>
              <w:rPr>
                <w:rFonts w:cs="Helvetica"/>
                <w:color w:val="333333"/>
              </w:rPr>
              <w:t>advise</w:t>
            </w:r>
            <w:proofErr w:type="gramEnd"/>
            <w:r>
              <w:rPr>
                <w:rFonts w:cs="Helvetica"/>
                <w:color w:val="333333"/>
              </w:rPr>
              <w:t xml:space="preserve"> compiled from CARC to inform a variety of system-wide implementation activities (including CCR standards implementation/transitions; instructional materials supports; Core to College efforts; OSPI-developed assessment supports; etc.)</w:t>
            </w:r>
          </w:p>
          <w:p w:rsidR="00421F26" w:rsidRDefault="00421F26" w:rsidP="00E9346E">
            <w:pPr>
              <w:pStyle w:val="ListParagraph"/>
              <w:numPr>
                <w:ilvl w:val="0"/>
                <w:numId w:val="21"/>
              </w:numPr>
              <w:rPr>
                <w:rFonts w:cs="Helvetica"/>
                <w:color w:val="333333"/>
              </w:rPr>
            </w:pPr>
            <w:r>
              <w:rPr>
                <w:rFonts w:cs="Helvetica"/>
                <w:color w:val="333333"/>
              </w:rPr>
              <w:t>CARC reviews and makes recommendations to the State Superintendent for revision and adoption of state learning standards</w:t>
            </w:r>
          </w:p>
        </w:tc>
        <w:tc>
          <w:tcPr>
            <w:tcW w:w="1778" w:type="dxa"/>
          </w:tcPr>
          <w:p w:rsidR="009F016A" w:rsidRDefault="00421F26">
            <w:r>
              <w:t>State funding</w:t>
            </w:r>
          </w:p>
        </w:tc>
        <w:tc>
          <w:tcPr>
            <w:tcW w:w="1642" w:type="dxa"/>
          </w:tcPr>
          <w:p w:rsidR="009F016A" w:rsidRDefault="00421F26">
            <w:r>
              <w:t>Ongoing</w:t>
            </w:r>
          </w:p>
        </w:tc>
      </w:tr>
      <w:tr w:rsidR="00022A62" w:rsidRPr="00DD7CED" w:rsidTr="006123DB">
        <w:tc>
          <w:tcPr>
            <w:tcW w:w="6768" w:type="dxa"/>
          </w:tcPr>
          <w:p w:rsidR="00022A62" w:rsidRDefault="00022A62">
            <w:pPr>
              <w:rPr>
                <w:b/>
              </w:rPr>
            </w:pPr>
            <w:proofErr w:type="spellStart"/>
            <w:r>
              <w:rPr>
                <w:b/>
              </w:rPr>
              <w:t>Preservice</w:t>
            </w:r>
            <w:proofErr w:type="spellEnd"/>
            <w:r>
              <w:rPr>
                <w:b/>
              </w:rPr>
              <w:t xml:space="preserve"> Teacher Preparation</w:t>
            </w:r>
          </w:p>
          <w:p w:rsidR="006123DB" w:rsidRPr="000D5387" w:rsidRDefault="006123DB" w:rsidP="006123DB">
            <w:pPr>
              <w:pStyle w:val="ListParagraph"/>
              <w:numPr>
                <w:ilvl w:val="0"/>
                <w:numId w:val="7"/>
              </w:numPr>
            </w:pPr>
            <w:r w:rsidRPr="000D5387">
              <w:t>Offer opportunities for teacher preparation faculty to learn about and integrate CCSS into pre-service programs</w:t>
            </w:r>
          </w:p>
          <w:p w:rsidR="006123DB" w:rsidRPr="006123DB" w:rsidRDefault="006123DB" w:rsidP="006123DB">
            <w:pPr>
              <w:pStyle w:val="ListParagraph"/>
              <w:numPr>
                <w:ilvl w:val="0"/>
                <w:numId w:val="7"/>
              </w:numPr>
              <w:rPr>
                <w:b/>
              </w:rPr>
            </w:pPr>
            <w:r w:rsidRPr="000D5387">
              <w:t>Align teacher endorsement competencies with new student learning standards (CCSS and NGSS)</w:t>
            </w:r>
          </w:p>
        </w:tc>
        <w:tc>
          <w:tcPr>
            <w:tcW w:w="1800" w:type="dxa"/>
          </w:tcPr>
          <w:p w:rsidR="00022A62" w:rsidRDefault="00022A62">
            <w:r>
              <w:t>Baccalaurea</w:t>
            </w:r>
            <w:r w:rsidR="00C45C3C">
              <w:t>t</w:t>
            </w:r>
            <w:r>
              <w:t>e Instit</w:t>
            </w:r>
            <w:r w:rsidR="00326D75">
              <w:t>u</w:t>
            </w:r>
            <w:r>
              <w:t>tions</w:t>
            </w:r>
            <w:r w:rsidR="0008489B">
              <w:t>, PESB</w:t>
            </w:r>
          </w:p>
          <w:p w:rsidR="00A75E0C" w:rsidRPr="00DD7CED" w:rsidRDefault="00A75E0C"/>
        </w:tc>
        <w:tc>
          <w:tcPr>
            <w:tcW w:w="1980" w:type="dxa"/>
          </w:tcPr>
          <w:p w:rsidR="00022A62" w:rsidRDefault="000D5387">
            <w:r>
              <w:t>Washingt</w:t>
            </w:r>
            <w:r w:rsidR="006123DB">
              <w:t>on Colleges of Teacher Education (WACTE)</w:t>
            </w:r>
          </w:p>
          <w:p w:rsidR="006123DB" w:rsidRDefault="006123DB">
            <w:r>
              <w:t>PESB</w:t>
            </w:r>
          </w:p>
          <w:p w:rsidR="006123DB" w:rsidRPr="00DD7CED" w:rsidRDefault="006123DB">
            <w:r>
              <w:t>OSPI</w:t>
            </w:r>
          </w:p>
        </w:tc>
        <w:tc>
          <w:tcPr>
            <w:tcW w:w="5332" w:type="dxa"/>
          </w:tcPr>
          <w:p w:rsidR="00022A62" w:rsidRDefault="000D5387" w:rsidP="00A75E0C">
            <w:pPr>
              <w:pStyle w:val="ListParagraph"/>
              <w:numPr>
                <w:ilvl w:val="0"/>
                <w:numId w:val="7"/>
              </w:numPr>
            </w:pPr>
            <w:r>
              <w:t>Pre-service teachers are prepared</w:t>
            </w:r>
            <w:r w:rsidR="0066496B">
              <w:t xml:space="preserve"> for implementation of Common Core curriculum standards to better meet the needs of a diverse population</w:t>
            </w:r>
          </w:p>
          <w:p w:rsidR="000D5387" w:rsidRDefault="000D5387" w:rsidP="00A75E0C">
            <w:pPr>
              <w:pStyle w:val="ListParagraph"/>
              <w:numPr>
                <w:ilvl w:val="0"/>
                <w:numId w:val="7"/>
              </w:numPr>
            </w:pPr>
            <w:r>
              <w:t xml:space="preserve">College </w:t>
            </w:r>
            <w:proofErr w:type="gramStart"/>
            <w:r>
              <w:t>faculty understand</w:t>
            </w:r>
            <w:proofErr w:type="gramEnd"/>
            <w:r>
              <w:t xml:space="preserve"> the state’s move to CCR standards as demonstrated through content and policies.</w:t>
            </w:r>
          </w:p>
          <w:p w:rsidR="005D460F" w:rsidRPr="00DD7CED" w:rsidRDefault="005D460F" w:rsidP="003D3EFB"/>
        </w:tc>
        <w:tc>
          <w:tcPr>
            <w:tcW w:w="1778" w:type="dxa"/>
          </w:tcPr>
          <w:p w:rsidR="00022A62" w:rsidRPr="00DD7CED" w:rsidRDefault="00022A62">
            <w:r w:rsidRPr="00946260">
              <w:t>.</w:t>
            </w:r>
          </w:p>
        </w:tc>
        <w:tc>
          <w:tcPr>
            <w:tcW w:w="1642" w:type="dxa"/>
          </w:tcPr>
          <w:p w:rsidR="00022A62" w:rsidRPr="00DD7CED" w:rsidRDefault="00022A62"/>
        </w:tc>
      </w:tr>
      <w:tr w:rsidR="004D355F" w:rsidRPr="00DD7CED" w:rsidTr="006123DB">
        <w:tc>
          <w:tcPr>
            <w:tcW w:w="6768" w:type="dxa"/>
          </w:tcPr>
          <w:p w:rsidR="00B01825" w:rsidRPr="00DD7CED" w:rsidRDefault="00B01825">
            <w:pPr>
              <w:rPr>
                <w:b/>
              </w:rPr>
            </w:pPr>
            <w:proofErr w:type="spellStart"/>
            <w:r w:rsidRPr="00DD7CED">
              <w:rPr>
                <w:b/>
              </w:rPr>
              <w:t>ReadyWA</w:t>
            </w:r>
            <w:proofErr w:type="spellEnd"/>
          </w:p>
          <w:p w:rsidR="00B01825" w:rsidRPr="00DD7CED" w:rsidRDefault="00F72DFC">
            <w:pPr>
              <w:rPr>
                <w:b/>
              </w:rPr>
            </w:pPr>
            <w:hyperlink r:id="rId16" w:history="1">
              <w:r w:rsidR="00B01825" w:rsidRPr="00DD7CED">
                <w:rPr>
                  <w:rStyle w:val="Hyperlink"/>
                </w:rPr>
                <w:t>http://www.readywa.org/</w:t>
              </w:r>
            </w:hyperlink>
          </w:p>
          <w:p w:rsidR="00B01825" w:rsidRDefault="00B01825">
            <w:pPr>
              <w:rPr>
                <w:b/>
              </w:rPr>
            </w:pPr>
          </w:p>
          <w:p w:rsidR="00600AE8" w:rsidRPr="00600AE8" w:rsidRDefault="00600AE8">
            <w:r w:rsidRPr="00600AE8">
              <w:rPr>
                <w:rStyle w:val="Strong"/>
                <w:b w:val="0"/>
                <w:shd w:val="clear" w:color="auto" w:fill="FFFFFF"/>
              </w:rPr>
              <w:t>Ready Washington is a coalition of state and local education agencies, associations and advocacy organizations that support college- and career-ready learning standards: Common Core State Standards and Next Generation Science Standards. The coalition believes all students should be better prepared for college, work and life to build the skills to compete for the quality jobs that our state has to offer.</w:t>
            </w:r>
          </w:p>
        </w:tc>
        <w:tc>
          <w:tcPr>
            <w:tcW w:w="1800" w:type="dxa"/>
          </w:tcPr>
          <w:p w:rsidR="00B01825" w:rsidRPr="00DD7CED" w:rsidRDefault="00DD7CED">
            <w:r w:rsidRPr="00DD7CED">
              <w:t>Partnership for Learning</w:t>
            </w:r>
            <w:r w:rsidR="00892FC5">
              <w:t>; PFL coordinates campaign and</w:t>
            </w:r>
            <w:r w:rsidR="00892FC5" w:rsidRPr="00892FC5">
              <w:t> convenes a communications workgroup</w:t>
            </w:r>
          </w:p>
        </w:tc>
        <w:tc>
          <w:tcPr>
            <w:tcW w:w="1980" w:type="dxa"/>
          </w:tcPr>
          <w:p w:rsidR="00B01825" w:rsidRPr="00DD7CED" w:rsidRDefault="00600AE8">
            <w:r>
              <w:t>WSAC, OSPI, STEM, AWP, Stand for Children</w:t>
            </w:r>
            <w:r w:rsidR="00E9346E">
              <w:t xml:space="preserve"> and others (see website)</w:t>
            </w:r>
          </w:p>
        </w:tc>
        <w:tc>
          <w:tcPr>
            <w:tcW w:w="5332" w:type="dxa"/>
          </w:tcPr>
          <w:p w:rsidR="00924554" w:rsidRPr="00600AE8" w:rsidRDefault="004A341F" w:rsidP="00600AE8">
            <w:pPr>
              <w:numPr>
                <w:ilvl w:val="0"/>
                <w:numId w:val="11"/>
              </w:numPr>
            </w:pPr>
            <w:r w:rsidRPr="00600AE8">
              <w:t>To build public awareness, understanding and support for Common Core State Standards and assessments.</w:t>
            </w:r>
          </w:p>
          <w:p w:rsidR="00924554" w:rsidRPr="00600AE8" w:rsidRDefault="004A341F" w:rsidP="00600AE8">
            <w:pPr>
              <w:numPr>
                <w:ilvl w:val="0"/>
                <w:numId w:val="11"/>
              </w:numPr>
            </w:pPr>
            <w:r w:rsidRPr="00600AE8">
              <w:t>To help schools/educators communicate about Common Core and assessments</w:t>
            </w:r>
          </w:p>
          <w:p w:rsidR="00B01825" w:rsidRPr="00DD7CED" w:rsidRDefault="00B01825"/>
        </w:tc>
        <w:tc>
          <w:tcPr>
            <w:tcW w:w="1778" w:type="dxa"/>
          </w:tcPr>
          <w:p w:rsidR="00B01825" w:rsidRPr="00DD7CED" w:rsidRDefault="00E9346E">
            <w:r>
              <w:t xml:space="preserve">Private funding (College Spark, Gates </w:t>
            </w:r>
            <w:proofErr w:type="spellStart"/>
            <w:r>
              <w:t>Fdn</w:t>
            </w:r>
            <w:proofErr w:type="spellEnd"/>
            <w:r>
              <w:t>.)</w:t>
            </w:r>
          </w:p>
        </w:tc>
        <w:tc>
          <w:tcPr>
            <w:tcW w:w="1642" w:type="dxa"/>
          </w:tcPr>
          <w:p w:rsidR="00B01825" w:rsidRPr="00DD7CED" w:rsidRDefault="00E9346E">
            <w:r>
              <w:t>Spring 2013 and beyond</w:t>
            </w:r>
          </w:p>
        </w:tc>
      </w:tr>
      <w:tr w:rsidR="004D355F" w:rsidRPr="00DD7CED" w:rsidTr="006123DB">
        <w:tc>
          <w:tcPr>
            <w:tcW w:w="6768" w:type="dxa"/>
          </w:tcPr>
          <w:p w:rsidR="006E5E4B" w:rsidRDefault="006E5E4B" w:rsidP="00A75E0C">
            <w:pPr>
              <w:rPr>
                <w:b/>
              </w:rPr>
            </w:pPr>
            <w:r>
              <w:rPr>
                <w:b/>
              </w:rPr>
              <w:lastRenderedPageBreak/>
              <w:t>Washington State Student Services Commission (WSSSC)</w:t>
            </w:r>
          </w:p>
          <w:p w:rsidR="006E5E4B" w:rsidRDefault="00F72DFC" w:rsidP="00A75E0C">
            <w:pPr>
              <w:rPr>
                <w:b/>
              </w:rPr>
            </w:pPr>
            <w:hyperlink r:id="rId17" w:history="1">
              <w:r w:rsidR="006E5E4B" w:rsidRPr="007E693A">
                <w:rPr>
                  <w:rStyle w:val="Hyperlink"/>
                  <w:b/>
                </w:rPr>
                <w:t>http://www.sbctc.ctc.edu/college/_g-studentsvcscomm.aspx</w:t>
              </w:r>
            </w:hyperlink>
          </w:p>
          <w:p w:rsidR="006E5E4B" w:rsidRDefault="006E5E4B" w:rsidP="00A75E0C">
            <w:pPr>
              <w:rPr>
                <w:b/>
              </w:rPr>
            </w:pPr>
          </w:p>
          <w:p w:rsidR="00B01825" w:rsidRPr="00DD7CED" w:rsidRDefault="00B01825" w:rsidP="00A75E0C">
            <w:pPr>
              <w:rPr>
                <w:rFonts w:cs="Times New Roman"/>
              </w:rPr>
            </w:pPr>
          </w:p>
        </w:tc>
        <w:tc>
          <w:tcPr>
            <w:tcW w:w="1800" w:type="dxa"/>
          </w:tcPr>
          <w:p w:rsidR="00B01825" w:rsidRPr="00DD7CED" w:rsidRDefault="006E5E4B">
            <w:r>
              <w:t>SBCTC</w:t>
            </w:r>
          </w:p>
        </w:tc>
        <w:tc>
          <w:tcPr>
            <w:tcW w:w="1980" w:type="dxa"/>
          </w:tcPr>
          <w:p w:rsidR="00B01825" w:rsidRPr="00DD7CED" w:rsidRDefault="00B01825"/>
        </w:tc>
        <w:tc>
          <w:tcPr>
            <w:tcW w:w="5332" w:type="dxa"/>
          </w:tcPr>
          <w:p w:rsidR="006E5E4B" w:rsidRPr="006E5E4B" w:rsidRDefault="006E5E4B" w:rsidP="00A75E0C">
            <w:pPr>
              <w:pStyle w:val="ListParagraph"/>
              <w:numPr>
                <w:ilvl w:val="0"/>
                <w:numId w:val="15"/>
              </w:numPr>
              <w:rPr>
                <w:lang w:val="en"/>
              </w:rPr>
            </w:pPr>
            <w:r w:rsidRPr="006E5E4B">
              <w:rPr>
                <w:lang w:val="en"/>
              </w:rPr>
              <w:t xml:space="preserve">To develop student services policy recommendations through a program of research, development, and evaluation </w:t>
            </w:r>
            <w:proofErr w:type="gramStart"/>
            <w:r w:rsidRPr="006E5E4B">
              <w:rPr>
                <w:lang w:val="en"/>
              </w:rPr>
              <w:t>which will be articulated to appropriate agencies.</w:t>
            </w:r>
            <w:proofErr w:type="gramEnd"/>
          </w:p>
          <w:p w:rsidR="006E5E4B" w:rsidRPr="006E5E4B" w:rsidRDefault="006E5E4B" w:rsidP="00A75E0C">
            <w:pPr>
              <w:pStyle w:val="ListParagraph"/>
              <w:numPr>
                <w:ilvl w:val="0"/>
                <w:numId w:val="15"/>
              </w:numPr>
              <w:rPr>
                <w:lang w:val="en"/>
              </w:rPr>
            </w:pPr>
            <w:r w:rsidRPr="006E5E4B">
              <w:rPr>
                <w:lang w:val="en"/>
              </w:rPr>
              <w:t>To work with appropriate agencies and organizations to develop and promote an understanding of student services.</w:t>
            </w:r>
          </w:p>
          <w:p w:rsidR="006E5E4B" w:rsidRPr="006E5E4B" w:rsidRDefault="006E5E4B" w:rsidP="00A75E0C">
            <w:pPr>
              <w:pStyle w:val="ListParagraph"/>
              <w:numPr>
                <w:ilvl w:val="0"/>
                <w:numId w:val="15"/>
              </w:numPr>
              <w:rPr>
                <w:lang w:val="en"/>
              </w:rPr>
            </w:pPr>
            <w:r w:rsidRPr="006E5E4B">
              <w:rPr>
                <w:lang w:val="en"/>
              </w:rPr>
              <w:t>To serve as the parent body for student services organizations.</w:t>
            </w:r>
          </w:p>
          <w:p w:rsidR="006E5E4B" w:rsidRPr="006E5E4B" w:rsidRDefault="006E5E4B" w:rsidP="00A75E0C">
            <w:pPr>
              <w:pStyle w:val="ListParagraph"/>
              <w:numPr>
                <w:ilvl w:val="0"/>
                <w:numId w:val="15"/>
              </w:numPr>
              <w:rPr>
                <w:lang w:val="en"/>
              </w:rPr>
            </w:pPr>
            <w:r w:rsidRPr="006E5E4B">
              <w:rPr>
                <w:lang w:val="en"/>
              </w:rPr>
              <w:t>To provide mutual exchange of information and ideas for the purpose of increasing the effectiveness of student services.</w:t>
            </w:r>
          </w:p>
          <w:p w:rsidR="00A00318" w:rsidRPr="00A75E0C" w:rsidRDefault="00A00318" w:rsidP="00A75E0C">
            <w:pPr>
              <w:pStyle w:val="ListParagraph"/>
              <w:shd w:val="clear" w:color="auto" w:fill="FFFFFF"/>
              <w:spacing w:before="100" w:beforeAutospacing="1" w:after="100" w:afterAutospacing="1"/>
              <w:rPr>
                <w:rFonts w:eastAsia="Times New Roman" w:cs="Times New Roman"/>
                <w:color w:val="000000"/>
              </w:rPr>
            </w:pPr>
          </w:p>
        </w:tc>
        <w:tc>
          <w:tcPr>
            <w:tcW w:w="1778" w:type="dxa"/>
          </w:tcPr>
          <w:p w:rsidR="00B01825" w:rsidRPr="00DD7CED" w:rsidRDefault="00B01825"/>
        </w:tc>
        <w:tc>
          <w:tcPr>
            <w:tcW w:w="1642" w:type="dxa"/>
          </w:tcPr>
          <w:p w:rsidR="00B01825" w:rsidRPr="00DD7CED" w:rsidRDefault="00B01825"/>
        </w:tc>
      </w:tr>
      <w:tr w:rsidR="004D355F" w:rsidRPr="00DD7CED" w:rsidTr="006123DB">
        <w:tc>
          <w:tcPr>
            <w:tcW w:w="6768" w:type="dxa"/>
          </w:tcPr>
          <w:p w:rsidR="00B01825" w:rsidRDefault="00E40656">
            <w:pPr>
              <w:rPr>
                <w:b/>
              </w:rPr>
            </w:pPr>
            <w:r>
              <w:rPr>
                <w:b/>
              </w:rPr>
              <w:t xml:space="preserve">24 Credit Diploma </w:t>
            </w:r>
            <w:r w:rsidR="00B01825" w:rsidRPr="00DD7CED">
              <w:rPr>
                <w:b/>
              </w:rPr>
              <w:t>Graduation Requirements</w:t>
            </w:r>
          </w:p>
          <w:p w:rsidR="00DD7CED" w:rsidRPr="00DD7CED" w:rsidRDefault="00F72DFC">
            <w:pPr>
              <w:rPr>
                <w:b/>
              </w:rPr>
            </w:pPr>
            <w:hyperlink r:id="rId18" w:anchor=".UryAsvRDt1k" w:history="1">
              <w:r w:rsidR="00DD7CED">
                <w:rPr>
                  <w:rStyle w:val="Hyperlink"/>
                </w:rPr>
                <w:t>http://www.sbe.wa.gov/graduation.php#.UryAsvRDt1k</w:t>
              </w:r>
            </w:hyperlink>
          </w:p>
          <w:p w:rsidR="003A479F" w:rsidRDefault="003A479F" w:rsidP="003D3EFB"/>
          <w:p w:rsidR="00B01825" w:rsidRPr="00DD7CED" w:rsidRDefault="003453A3">
            <w:r>
              <w:t>Requires 17 mandatory credits and 7 credits of student choice (including 2 credits of career concentration) that are based on a student’s High School and Beyond plan</w:t>
            </w:r>
          </w:p>
        </w:tc>
        <w:tc>
          <w:tcPr>
            <w:tcW w:w="1800" w:type="dxa"/>
          </w:tcPr>
          <w:p w:rsidR="00B01825" w:rsidRPr="00DD7CED" w:rsidRDefault="00DD7CED">
            <w:r>
              <w:t>SBE</w:t>
            </w:r>
          </w:p>
        </w:tc>
        <w:tc>
          <w:tcPr>
            <w:tcW w:w="1980" w:type="dxa"/>
          </w:tcPr>
          <w:p w:rsidR="00B01825" w:rsidRPr="00DD7CED" w:rsidRDefault="00DD7CED">
            <w:r>
              <w:t>OSPI</w:t>
            </w:r>
            <w:r w:rsidR="00892FC5">
              <w:t>, PFL</w:t>
            </w:r>
          </w:p>
        </w:tc>
        <w:tc>
          <w:tcPr>
            <w:tcW w:w="5332" w:type="dxa"/>
          </w:tcPr>
          <w:p w:rsidR="003453A3" w:rsidRPr="00DD7CED" w:rsidRDefault="003453A3" w:rsidP="00A75E0C">
            <w:pPr>
              <w:pStyle w:val="ListParagraph"/>
              <w:numPr>
                <w:ilvl w:val="0"/>
                <w:numId w:val="13"/>
              </w:numPr>
            </w:pPr>
            <w:r w:rsidRPr="00DD7CED">
              <w:t xml:space="preserve">Ensure that </w:t>
            </w:r>
            <w:r w:rsidR="003A479F">
              <w:t xml:space="preserve">high school </w:t>
            </w:r>
            <w:r w:rsidRPr="00DD7CED">
              <w:t xml:space="preserve"> graduates are prepared for postsecondary opportunities, including career training and college</w:t>
            </w:r>
          </w:p>
        </w:tc>
        <w:tc>
          <w:tcPr>
            <w:tcW w:w="1778" w:type="dxa"/>
          </w:tcPr>
          <w:p w:rsidR="00B01825" w:rsidRPr="00DD7CED" w:rsidRDefault="00B01825"/>
        </w:tc>
        <w:tc>
          <w:tcPr>
            <w:tcW w:w="1642" w:type="dxa"/>
          </w:tcPr>
          <w:p w:rsidR="00B01825" w:rsidRPr="00DD7CED" w:rsidRDefault="00B01825"/>
        </w:tc>
      </w:tr>
      <w:tr w:rsidR="00C45C3C" w:rsidRPr="00DD7CED" w:rsidTr="006123DB">
        <w:tc>
          <w:tcPr>
            <w:tcW w:w="6768" w:type="dxa"/>
          </w:tcPr>
          <w:p w:rsidR="00C45C3C" w:rsidRDefault="00C45C3C" w:rsidP="00C45C3C">
            <w:pPr>
              <w:rPr>
                <w:b/>
              </w:rPr>
            </w:pPr>
            <w:r>
              <w:rPr>
                <w:b/>
              </w:rPr>
              <w:t xml:space="preserve">Title II </w:t>
            </w:r>
            <w:r w:rsidR="00326D75">
              <w:rPr>
                <w:b/>
              </w:rPr>
              <w:t xml:space="preserve">- </w:t>
            </w:r>
            <w:r>
              <w:rPr>
                <w:b/>
              </w:rPr>
              <w:t>Professional Development</w:t>
            </w:r>
          </w:p>
          <w:p w:rsidR="00326D75" w:rsidRDefault="00326D75" w:rsidP="00C45C3C">
            <w:pPr>
              <w:rPr>
                <w:b/>
              </w:rPr>
            </w:pPr>
          </w:p>
          <w:p w:rsidR="00326D75" w:rsidRDefault="00F72DFC" w:rsidP="00C45C3C">
            <w:pPr>
              <w:rPr>
                <w:b/>
              </w:rPr>
            </w:pPr>
            <w:hyperlink r:id="rId19" w:history="1">
              <w:r w:rsidR="00326D75">
                <w:rPr>
                  <w:rStyle w:val="Hyperlink"/>
                </w:rPr>
                <w:t>http://www.k12.wa.us/titleiia/</w:t>
              </w:r>
            </w:hyperlink>
          </w:p>
          <w:p w:rsidR="00C45C3C" w:rsidRPr="00DD7CED" w:rsidRDefault="00C45C3C">
            <w:pPr>
              <w:rPr>
                <w:b/>
              </w:rPr>
            </w:pPr>
          </w:p>
        </w:tc>
        <w:tc>
          <w:tcPr>
            <w:tcW w:w="1800" w:type="dxa"/>
          </w:tcPr>
          <w:p w:rsidR="00C45C3C" w:rsidRPr="00DD7CED" w:rsidRDefault="00C45C3C">
            <w:r>
              <w:t>WSAC, OSPI</w:t>
            </w:r>
          </w:p>
        </w:tc>
        <w:tc>
          <w:tcPr>
            <w:tcW w:w="1980" w:type="dxa"/>
          </w:tcPr>
          <w:p w:rsidR="00C45C3C" w:rsidRPr="00DD7CED" w:rsidRDefault="00C45C3C"/>
        </w:tc>
        <w:tc>
          <w:tcPr>
            <w:tcW w:w="5332" w:type="dxa"/>
          </w:tcPr>
          <w:p w:rsidR="00C45C3C" w:rsidRDefault="00326D75" w:rsidP="00321389">
            <w:pPr>
              <w:pStyle w:val="ListParagraph"/>
              <w:numPr>
                <w:ilvl w:val="0"/>
                <w:numId w:val="6"/>
              </w:numPr>
            </w:pPr>
            <w:r>
              <w:t>Increase teachers’ subject-matter knowledge of mathematics, science, English, and/or content area reading</w:t>
            </w:r>
          </w:p>
          <w:p w:rsidR="00326D75" w:rsidRDefault="00326D75" w:rsidP="00321389">
            <w:pPr>
              <w:pStyle w:val="ListParagraph"/>
              <w:numPr>
                <w:ilvl w:val="0"/>
                <w:numId w:val="6"/>
              </w:numPr>
            </w:pPr>
            <w:r>
              <w:t>Increase teachers’ ability to use challengi</w:t>
            </w:r>
            <w:r w:rsidR="00FA2171">
              <w:t>ng academic content, student achievement standards, and Washington state assessments to improve instructional practices and improve student academic achievement in math, science, English and/or content reading</w:t>
            </w:r>
          </w:p>
          <w:p w:rsidR="00FA2171" w:rsidRPr="00DD7CED" w:rsidRDefault="00FA2171" w:rsidP="00321389">
            <w:pPr>
              <w:pStyle w:val="ListParagraph"/>
              <w:numPr>
                <w:ilvl w:val="0"/>
                <w:numId w:val="6"/>
              </w:numPr>
            </w:pPr>
            <w:r>
              <w:t xml:space="preserve">Increase principals’ instructional </w:t>
            </w:r>
            <w:r w:rsidR="00A75E0C">
              <w:t>leadership</w:t>
            </w:r>
            <w:r>
              <w:t xml:space="preserve"> skills that will help them work more effectively with teachers to help students master mathematics, science, English, and/or content area reading</w:t>
            </w:r>
          </w:p>
        </w:tc>
        <w:tc>
          <w:tcPr>
            <w:tcW w:w="1778" w:type="dxa"/>
          </w:tcPr>
          <w:p w:rsidR="00C45C3C" w:rsidRPr="00DD7CED" w:rsidRDefault="00326D75">
            <w:r>
              <w:t>Federal funding</w:t>
            </w:r>
          </w:p>
        </w:tc>
        <w:tc>
          <w:tcPr>
            <w:tcW w:w="1642" w:type="dxa"/>
          </w:tcPr>
          <w:p w:rsidR="00C45C3C" w:rsidRPr="00DD7CED" w:rsidRDefault="00C45C3C"/>
        </w:tc>
      </w:tr>
      <w:tr w:rsidR="00C45C3C" w:rsidRPr="00DD7CED" w:rsidTr="006123DB">
        <w:tc>
          <w:tcPr>
            <w:tcW w:w="6768" w:type="dxa"/>
          </w:tcPr>
          <w:p w:rsidR="00C45C3C" w:rsidRDefault="00C45C3C" w:rsidP="00C45C3C">
            <w:pPr>
              <w:rPr>
                <w:b/>
              </w:rPr>
            </w:pPr>
            <w:r>
              <w:rPr>
                <w:b/>
              </w:rPr>
              <w:t>GEAR UP Educator Development Initiative</w:t>
            </w:r>
          </w:p>
          <w:p w:rsidR="00326D75" w:rsidRDefault="00326D75" w:rsidP="00C45C3C">
            <w:pPr>
              <w:rPr>
                <w:rFonts w:cs="Helvetica"/>
                <w:color w:val="333333"/>
              </w:rPr>
            </w:pPr>
            <w:r w:rsidRPr="00321389">
              <w:rPr>
                <w:rFonts w:cs="Helvetica"/>
                <w:color w:val="333333"/>
              </w:rPr>
              <w:t>GEAR UP EDI offers professional development to educators who serve GEAR UP students and their families.</w:t>
            </w:r>
          </w:p>
          <w:p w:rsidR="00326D75" w:rsidRDefault="00F72DFC" w:rsidP="00C45C3C">
            <w:pPr>
              <w:rPr>
                <w:b/>
              </w:rPr>
            </w:pPr>
            <w:hyperlink r:id="rId20" w:history="1">
              <w:r w:rsidR="00326D75" w:rsidRPr="004E4A64">
                <w:rPr>
                  <w:rStyle w:val="Hyperlink"/>
                  <w:b/>
                </w:rPr>
                <w:t>http://www.washington.edu/omad/gear-up/our-mission/</w:t>
              </w:r>
            </w:hyperlink>
          </w:p>
          <w:p w:rsidR="00326D75" w:rsidRPr="00326D75" w:rsidRDefault="00326D75" w:rsidP="00C45C3C">
            <w:pPr>
              <w:spacing w:after="200" w:line="276" w:lineRule="auto"/>
              <w:rPr>
                <w:b/>
              </w:rPr>
            </w:pPr>
          </w:p>
        </w:tc>
        <w:tc>
          <w:tcPr>
            <w:tcW w:w="1800" w:type="dxa"/>
          </w:tcPr>
          <w:p w:rsidR="00C45C3C" w:rsidRDefault="00C45C3C">
            <w:r>
              <w:lastRenderedPageBreak/>
              <w:t>UW</w:t>
            </w:r>
          </w:p>
        </w:tc>
        <w:tc>
          <w:tcPr>
            <w:tcW w:w="1980" w:type="dxa"/>
          </w:tcPr>
          <w:p w:rsidR="00C45C3C" w:rsidRPr="00DD7CED" w:rsidRDefault="00C45C3C">
            <w:r>
              <w:t>GEAR UP (WSAC)</w:t>
            </w:r>
          </w:p>
        </w:tc>
        <w:tc>
          <w:tcPr>
            <w:tcW w:w="5332" w:type="dxa"/>
          </w:tcPr>
          <w:p w:rsidR="001019EA" w:rsidRPr="00321389" w:rsidRDefault="001019EA" w:rsidP="00321389">
            <w:pPr>
              <w:pStyle w:val="ListParagraph"/>
              <w:numPr>
                <w:ilvl w:val="0"/>
                <w:numId w:val="5"/>
              </w:numPr>
            </w:pPr>
            <w:r w:rsidRPr="00321389">
              <w:rPr>
                <w:rFonts w:cs="Helvetica"/>
                <w:color w:val="333333"/>
              </w:rPr>
              <w:t xml:space="preserve"> </w:t>
            </w:r>
            <w:r w:rsidR="004766D9">
              <w:rPr>
                <w:rFonts w:cs="Helvetica"/>
                <w:color w:val="333333"/>
              </w:rPr>
              <w:t>I</w:t>
            </w:r>
            <w:r w:rsidRPr="00321389">
              <w:rPr>
                <w:rFonts w:cs="Helvetica"/>
                <w:color w:val="333333"/>
              </w:rPr>
              <w:t>ncrease academic performance for postsecondary education for GEAR UP students</w:t>
            </w:r>
          </w:p>
          <w:p w:rsidR="001019EA" w:rsidRPr="00321389" w:rsidRDefault="004766D9" w:rsidP="00321389">
            <w:pPr>
              <w:pStyle w:val="ListParagraph"/>
              <w:numPr>
                <w:ilvl w:val="0"/>
                <w:numId w:val="5"/>
              </w:numPr>
            </w:pPr>
            <w:r>
              <w:rPr>
                <w:rFonts w:cs="Helvetica"/>
                <w:color w:val="333333"/>
              </w:rPr>
              <w:t xml:space="preserve"> I</w:t>
            </w:r>
            <w:r w:rsidR="001019EA" w:rsidRPr="00321389">
              <w:rPr>
                <w:rFonts w:cs="Helvetica"/>
                <w:color w:val="333333"/>
              </w:rPr>
              <w:t xml:space="preserve">ncrease the rate of high school graduation and </w:t>
            </w:r>
            <w:r w:rsidR="001019EA" w:rsidRPr="00321389">
              <w:rPr>
                <w:rFonts w:cs="Helvetica"/>
                <w:color w:val="333333"/>
              </w:rPr>
              <w:lastRenderedPageBreak/>
              <w:t>participation in postsecondary education fore GEAR UP students</w:t>
            </w:r>
          </w:p>
          <w:p w:rsidR="00C45C3C" w:rsidRPr="00DD7CED" w:rsidRDefault="004766D9" w:rsidP="00321389">
            <w:pPr>
              <w:pStyle w:val="ListParagraph"/>
              <w:numPr>
                <w:ilvl w:val="0"/>
                <w:numId w:val="5"/>
              </w:numPr>
            </w:pPr>
            <w:r>
              <w:rPr>
                <w:rFonts w:cs="Helvetica"/>
                <w:color w:val="333333"/>
              </w:rPr>
              <w:t>I</w:t>
            </w:r>
            <w:r w:rsidR="001019EA" w:rsidRPr="00321389">
              <w:rPr>
                <w:rFonts w:cs="Helvetica"/>
                <w:color w:val="333333"/>
              </w:rPr>
              <w:t>ncrease GEAR UP students’ and their families’ knowledge of postsecondary education options, preparation and financing</w:t>
            </w:r>
          </w:p>
        </w:tc>
        <w:tc>
          <w:tcPr>
            <w:tcW w:w="1778" w:type="dxa"/>
          </w:tcPr>
          <w:p w:rsidR="00C45C3C" w:rsidRPr="00DD7CED" w:rsidRDefault="00C45C3C"/>
        </w:tc>
        <w:tc>
          <w:tcPr>
            <w:tcW w:w="1642" w:type="dxa"/>
          </w:tcPr>
          <w:p w:rsidR="00C45C3C" w:rsidRPr="00DD7CED" w:rsidRDefault="00C45C3C"/>
        </w:tc>
      </w:tr>
      <w:tr w:rsidR="00A532FE" w:rsidRPr="00DD7CED" w:rsidTr="006123DB">
        <w:tc>
          <w:tcPr>
            <w:tcW w:w="6768" w:type="dxa"/>
          </w:tcPr>
          <w:p w:rsidR="00A532FE" w:rsidRDefault="00A532FE" w:rsidP="00C45C3C">
            <w:pPr>
              <w:rPr>
                <w:b/>
              </w:rPr>
            </w:pPr>
            <w:r>
              <w:rPr>
                <w:b/>
              </w:rPr>
              <w:lastRenderedPageBreak/>
              <w:t>GATE (Graduation, a Team Effort)</w:t>
            </w:r>
          </w:p>
          <w:p w:rsidR="00A532FE" w:rsidRDefault="00F72DFC" w:rsidP="00C45C3C">
            <w:pPr>
              <w:rPr>
                <w:rStyle w:val="Hyperlink"/>
                <w:b/>
              </w:rPr>
            </w:pPr>
            <w:hyperlink r:id="rId21" w:history="1">
              <w:r w:rsidR="00A532FE" w:rsidRPr="00453BF1">
                <w:rPr>
                  <w:rStyle w:val="Hyperlink"/>
                  <w:b/>
                </w:rPr>
                <w:t>http://www.k12.wa.us/gate/</w:t>
              </w:r>
            </w:hyperlink>
          </w:p>
          <w:p w:rsidR="001673C0" w:rsidRDefault="001673C0" w:rsidP="00C45C3C">
            <w:pPr>
              <w:rPr>
                <w:rStyle w:val="Hyperlink"/>
                <w:b/>
              </w:rPr>
            </w:pPr>
          </w:p>
          <w:p w:rsidR="00A532FE" w:rsidRDefault="001673C0" w:rsidP="00C45C3C">
            <w:pPr>
              <w:rPr>
                <w:rStyle w:val="Hyperlink"/>
                <w:color w:val="auto"/>
                <w:u w:val="none"/>
              </w:rPr>
            </w:pPr>
            <w:r>
              <w:rPr>
                <w:rStyle w:val="Hyperlink"/>
                <w:color w:val="auto"/>
                <w:u w:val="none"/>
              </w:rPr>
              <w:t>Dropout prevention, intervention, and reengagement inventory</w:t>
            </w:r>
          </w:p>
          <w:p w:rsidR="003A479F" w:rsidRDefault="003A479F" w:rsidP="00C45C3C">
            <w:pPr>
              <w:rPr>
                <w:b/>
              </w:rPr>
            </w:pPr>
          </w:p>
        </w:tc>
        <w:tc>
          <w:tcPr>
            <w:tcW w:w="1800" w:type="dxa"/>
          </w:tcPr>
          <w:p w:rsidR="00A532FE" w:rsidRDefault="00A532FE">
            <w:r>
              <w:t>OSPI</w:t>
            </w:r>
          </w:p>
        </w:tc>
        <w:tc>
          <w:tcPr>
            <w:tcW w:w="1980" w:type="dxa"/>
          </w:tcPr>
          <w:p w:rsidR="00A532FE" w:rsidRDefault="00A532FE">
            <w:r>
              <w:t>WTECB</w:t>
            </w:r>
          </w:p>
        </w:tc>
        <w:tc>
          <w:tcPr>
            <w:tcW w:w="5332" w:type="dxa"/>
          </w:tcPr>
          <w:p w:rsidR="00A532FE" w:rsidRDefault="001673C0" w:rsidP="00321389">
            <w:pPr>
              <w:pStyle w:val="ListParagraph"/>
              <w:numPr>
                <w:ilvl w:val="0"/>
                <w:numId w:val="5"/>
              </w:numPr>
              <w:rPr>
                <w:rFonts w:cs="Helvetica"/>
                <w:color w:val="333333"/>
              </w:rPr>
            </w:pPr>
            <w:r>
              <w:rPr>
                <w:rFonts w:cs="Helvetica"/>
                <w:color w:val="333333"/>
              </w:rPr>
              <w:t>Keep students engaged in school</w:t>
            </w:r>
          </w:p>
          <w:p w:rsidR="001673C0" w:rsidRDefault="001673C0" w:rsidP="00321389">
            <w:pPr>
              <w:pStyle w:val="ListParagraph"/>
              <w:numPr>
                <w:ilvl w:val="0"/>
                <w:numId w:val="5"/>
              </w:numPr>
              <w:rPr>
                <w:rFonts w:cs="Helvetica"/>
                <w:color w:val="333333"/>
              </w:rPr>
            </w:pPr>
            <w:r>
              <w:rPr>
                <w:rFonts w:cs="Helvetica"/>
                <w:color w:val="333333"/>
              </w:rPr>
              <w:t>Reduce barriers to learning</w:t>
            </w:r>
          </w:p>
          <w:p w:rsidR="001673C0" w:rsidRPr="00321389" w:rsidRDefault="001673C0" w:rsidP="00321389">
            <w:pPr>
              <w:pStyle w:val="ListParagraph"/>
              <w:numPr>
                <w:ilvl w:val="0"/>
                <w:numId w:val="5"/>
              </w:numPr>
              <w:rPr>
                <w:rFonts w:cs="Helvetica"/>
                <w:color w:val="333333"/>
              </w:rPr>
            </w:pPr>
            <w:r>
              <w:rPr>
                <w:rFonts w:cs="Helvetica"/>
                <w:color w:val="333333"/>
              </w:rPr>
              <w:t>Increas</w:t>
            </w:r>
            <w:r w:rsidR="003A479F">
              <w:rPr>
                <w:rFonts w:cs="Helvetica"/>
                <w:color w:val="333333"/>
              </w:rPr>
              <w:t>e</w:t>
            </w:r>
            <w:r>
              <w:rPr>
                <w:rFonts w:cs="Helvetica"/>
                <w:color w:val="333333"/>
              </w:rPr>
              <w:t xml:space="preserve"> graduation rates</w:t>
            </w:r>
          </w:p>
        </w:tc>
        <w:tc>
          <w:tcPr>
            <w:tcW w:w="1778" w:type="dxa"/>
          </w:tcPr>
          <w:p w:rsidR="00A532FE" w:rsidRPr="00DD7CED" w:rsidRDefault="00A532FE"/>
        </w:tc>
        <w:tc>
          <w:tcPr>
            <w:tcW w:w="1642" w:type="dxa"/>
          </w:tcPr>
          <w:p w:rsidR="00A532FE" w:rsidRPr="00DD7CED" w:rsidRDefault="00A532FE"/>
        </w:tc>
      </w:tr>
      <w:tr w:rsidR="00B03C55" w:rsidRPr="00DD7CED" w:rsidTr="006123DB">
        <w:tc>
          <w:tcPr>
            <w:tcW w:w="6768" w:type="dxa"/>
          </w:tcPr>
          <w:p w:rsidR="00B03C55" w:rsidRDefault="00B03C55" w:rsidP="00C45C3C">
            <w:pPr>
              <w:rPr>
                <w:b/>
              </w:rPr>
            </w:pPr>
            <w:r>
              <w:rPr>
                <w:b/>
              </w:rPr>
              <w:t>Career Readiness for a Working Washington</w:t>
            </w:r>
          </w:p>
          <w:p w:rsidR="00B03C55" w:rsidRDefault="00F72DFC" w:rsidP="00C45C3C">
            <w:pPr>
              <w:rPr>
                <w:b/>
              </w:rPr>
            </w:pPr>
            <w:hyperlink r:id="rId22" w:history="1">
              <w:r w:rsidR="00E20538" w:rsidRPr="00107FAF">
                <w:rPr>
                  <w:rStyle w:val="Hyperlink"/>
                  <w:b/>
                </w:rPr>
                <w:t>http://www.esd.wa.gov/newsandinformation/releases/initiative-launched-students-career-readiness-13-049.php</w:t>
              </w:r>
            </w:hyperlink>
          </w:p>
          <w:p w:rsidR="00E20538" w:rsidRDefault="00E20538" w:rsidP="00C45C3C">
            <w:pPr>
              <w:rPr>
                <w:b/>
              </w:rPr>
            </w:pPr>
          </w:p>
          <w:p w:rsidR="00B03C55" w:rsidRDefault="00B03C55" w:rsidP="00C45C3C">
            <w:pPr>
              <w:rPr>
                <w:rStyle w:val="apple-converted-space"/>
                <w:rFonts w:ascii="Verdana" w:hAnsi="Verdana"/>
                <w:sz w:val="18"/>
                <w:szCs w:val="18"/>
                <w:shd w:val="clear" w:color="auto" w:fill="FFFFFF"/>
              </w:rPr>
            </w:pPr>
            <w:r w:rsidRPr="00BD32D2">
              <w:rPr>
                <w:rFonts w:ascii="Verdana" w:hAnsi="Verdana"/>
                <w:sz w:val="18"/>
                <w:szCs w:val="18"/>
                <w:shd w:val="clear" w:color="auto" w:fill="FFFFFF"/>
              </w:rPr>
              <w:t>Pilot program that will match students with mentorships, internships or other work-based learning activities at local businesses in five Washington communities: Renton, Spokane, Vancouver, Wenatchee and Yelm.</w:t>
            </w:r>
            <w:r w:rsidRPr="00BD32D2">
              <w:rPr>
                <w:rStyle w:val="apple-converted-space"/>
                <w:rFonts w:ascii="Verdana" w:hAnsi="Verdana"/>
                <w:sz w:val="18"/>
                <w:szCs w:val="18"/>
                <w:shd w:val="clear" w:color="auto" w:fill="FFFFFF"/>
              </w:rPr>
              <w:t> </w:t>
            </w:r>
          </w:p>
          <w:p w:rsidR="003723FC" w:rsidRDefault="003723FC" w:rsidP="00C45C3C">
            <w:pPr>
              <w:rPr>
                <w:b/>
              </w:rPr>
            </w:pPr>
          </w:p>
        </w:tc>
        <w:tc>
          <w:tcPr>
            <w:tcW w:w="1800" w:type="dxa"/>
          </w:tcPr>
          <w:p w:rsidR="00B03C55" w:rsidRDefault="00B03C55">
            <w:r>
              <w:t>OSPI, ESD (Employment Security Department)</w:t>
            </w:r>
          </w:p>
        </w:tc>
        <w:tc>
          <w:tcPr>
            <w:tcW w:w="1980" w:type="dxa"/>
          </w:tcPr>
          <w:p w:rsidR="00B03C55" w:rsidRDefault="00B03C55">
            <w:r>
              <w:t>WTECB</w:t>
            </w:r>
          </w:p>
        </w:tc>
        <w:tc>
          <w:tcPr>
            <w:tcW w:w="5332" w:type="dxa"/>
          </w:tcPr>
          <w:p w:rsidR="00B03C55" w:rsidRDefault="00ED018A" w:rsidP="00321389">
            <w:pPr>
              <w:pStyle w:val="ListParagraph"/>
              <w:numPr>
                <w:ilvl w:val="0"/>
                <w:numId w:val="5"/>
              </w:numPr>
              <w:rPr>
                <w:rFonts w:cs="Helvetica"/>
                <w:color w:val="333333"/>
              </w:rPr>
            </w:pPr>
            <w:r>
              <w:rPr>
                <w:rFonts w:cs="Helvetica"/>
                <w:color w:val="333333"/>
              </w:rPr>
              <w:t>Provide opportunities for students and help students connect their learning and future careers</w:t>
            </w:r>
          </w:p>
          <w:p w:rsidR="00ED018A" w:rsidRPr="00321389" w:rsidRDefault="00ED018A" w:rsidP="00321389">
            <w:pPr>
              <w:pStyle w:val="ListParagraph"/>
              <w:numPr>
                <w:ilvl w:val="0"/>
                <w:numId w:val="5"/>
              </w:numPr>
              <w:rPr>
                <w:rFonts w:cs="Helvetica"/>
                <w:color w:val="333333"/>
              </w:rPr>
            </w:pPr>
            <w:r>
              <w:rPr>
                <w:rFonts w:cs="Helvetica"/>
                <w:color w:val="333333"/>
              </w:rPr>
              <w:t>Help students make informed choices about the courses they take</w:t>
            </w:r>
          </w:p>
        </w:tc>
        <w:tc>
          <w:tcPr>
            <w:tcW w:w="1778" w:type="dxa"/>
          </w:tcPr>
          <w:p w:rsidR="00B03C55" w:rsidRPr="00DD7CED" w:rsidRDefault="00B03C55"/>
        </w:tc>
        <w:tc>
          <w:tcPr>
            <w:tcW w:w="1642" w:type="dxa"/>
          </w:tcPr>
          <w:p w:rsidR="00B03C55" w:rsidRPr="00DD7CED" w:rsidRDefault="00B03C55"/>
        </w:tc>
      </w:tr>
      <w:tr w:rsidR="003E1168" w:rsidRPr="00DD7CED" w:rsidTr="006123DB">
        <w:tc>
          <w:tcPr>
            <w:tcW w:w="6768" w:type="dxa"/>
          </w:tcPr>
          <w:p w:rsidR="003E1168" w:rsidRDefault="003E1168" w:rsidP="00C45C3C">
            <w:pPr>
              <w:rPr>
                <w:b/>
              </w:rPr>
            </w:pPr>
            <w:r>
              <w:rPr>
                <w:b/>
              </w:rPr>
              <w:t xml:space="preserve">Dual Credit Work Group </w:t>
            </w:r>
          </w:p>
          <w:p w:rsidR="0033647F" w:rsidRPr="005B316A" w:rsidRDefault="00F72DFC" w:rsidP="00C45C3C">
            <w:pPr>
              <w:rPr>
                <w:b/>
              </w:rPr>
            </w:pPr>
            <w:hyperlink r:id="rId23" w:history="1">
              <w:r w:rsidR="005B316A" w:rsidRPr="005B316A">
                <w:rPr>
                  <w:rStyle w:val="Hyperlink"/>
                  <w:b/>
                </w:rPr>
                <w:t>http://wa-dualcredit.wikispaces.com/</w:t>
              </w:r>
            </w:hyperlink>
            <w:r w:rsidR="005B316A" w:rsidRPr="005B316A">
              <w:rPr>
                <w:b/>
              </w:rPr>
              <w:t xml:space="preserve"> </w:t>
            </w:r>
          </w:p>
          <w:p w:rsidR="005B316A" w:rsidRDefault="005B316A" w:rsidP="00C45C3C">
            <w:pPr>
              <w:rPr>
                <w:b/>
              </w:rPr>
            </w:pPr>
          </w:p>
          <w:p w:rsidR="0033647F" w:rsidRPr="00A75E0C" w:rsidRDefault="0033647F" w:rsidP="005B316A">
            <w:pPr>
              <w:spacing w:after="200"/>
            </w:pPr>
            <w:r w:rsidRPr="00A75E0C">
              <w:t xml:space="preserve">As part of implementing WSAC’s Roadmap, the work group will review existing policies and practices and make recommendations for dual credit. </w:t>
            </w:r>
          </w:p>
        </w:tc>
        <w:tc>
          <w:tcPr>
            <w:tcW w:w="1800" w:type="dxa"/>
          </w:tcPr>
          <w:p w:rsidR="003E1168" w:rsidRDefault="003E1168">
            <w:r>
              <w:t>WSAC</w:t>
            </w:r>
          </w:p>
        </w:tc>
        <w:tc>
          <w:tcPr>
            <w:tcW w:w="1980" w:type="dxa"/>
          </w:tcPr>
          <w:p w:rsidR="003E1168" w:rsidRDefault="00477034">
            <w:r>
              <w:t>SBE, OSPI, SBCTC, COP, ICW, WTECB, AWSP</w:t>
            </w:r>
          </w:p>
        </w:tc>
        <w:tc>
          <w:tcPr>
            <w:tcW w:w="5332" w:type="dxa"/>
          </w:tcPr>
          <w:p w:rsidR="0033647F" w:rsidRPr="00A75E0C" w:rsidRDefault="0033647F" w:rsidP="0033647F">
            <w:pPr>
              <w:numPr>
                <w:ilvl w:val="0"/>
                <w:numId w:val="5"/>
              </w:numPr>
              <w:shd w:val="clear" w:color="auto" w:fill="FFFFFF"/>
              <w:spacing w:before="100" w:beforeAutospacing="1" w:after="100" w:afterAutospacing="1" w:line="276" w:lineRule="auto"/>
              <w:rPr>
                <w:rFonts w:eastAsia="Times New Roman" w:cs="Arial"/>
              </w:rPr>
            </w:pPr>
            <w:r w:rsidRPr="00A75E0C">
              <w:rPr>
                <w:rFonts w:eastAsia="Times New Roman" w:cs="Arial"/>
              </w:rPr>
              <w:t>Provide clear information about each option in ways that empower high school students to choose the option best suited to their goals and schedules.</w:t>
            </w:r>
          </w:p>
          <w:p w:rsidR="0033647F" w:rsidRPr="00A75E0C" w:rsidRDefault="0033647F" w:rsidP="0033647F">
            <w:pPr>
              <w:numPr>
                <w:ilvl w:val="0"/>
                <w:numId w:val="5"/>
              </w:numPr>
              <w:shd w:val="clear" w:color="auto" w:fill="FFFFFF"/>
              <w:spacing w:before="100" w:beforeAutospacing="1" w:after="100" w:afterAutospacing="1" w:line="276" w:lineRule="auto"/>
              <w:rPr>
                <w:rFonts w:eastAsia="Times New Roman" w:cs="Arial"/>
              </w:rPr>
            </w:pPr>
            <w:r w:rsidRPr="00A75E0C">
              <w:rPr>
                <w:rFonts w:eastAsia="Times New Roman" w:cs="Arial"/>
              </w:rPr>
              <w:t>Provide low-cost options for high school students and their families.</w:t>
            </w:r>
          </w:p>
          <w:p w:rsidR="0033647F" w:rsidRPr="00A75E0C" w:rsidRDefault="0033647F" w:rsidP="0033647F">
            <w:pPr>
              <w:numPr>
                <w:ilvl w:val="0"/>
                <w:numId w:val="5"/>
              </w:numPr>
              <w:shd w:val="clear" w:color="auto" w:fill="FFFFFF"/>
              <w:spacing w:before="100" w:beforeAutospacing="1" w:after="100" w:afterAutospacing="1" w:line="276" w:lineRule="auto"/>
              <w:rPr>
                <w:rFonts w:eastAsia="Times New Roman" w:cs="Arial"/>
              </w:rPr>
            </w:pPr>
            <w:r w:rsidRPr="00A75E0C">
              <w:rPr>
                <w:rFonts w:eastAsia="Times New Roman" w:cs="Arial"/>
              </w:rPr>
              <w:t>Ensure adequate funding for high schools and postsecondary institutions to maintain high-quality options.</w:t>
            </w:r>
          </w:p>
          <w:p w:rsidR="0033647F" w:rsidRPr="00A75E0C" w:rsidRDefault="0033647F" w:rsidP="0033647F">
            <w:pPr>
              <w:numPr>
                <w:ilvl w:val="0"/>
                <w:numId w:val="5"/>
              </w:numPr>
              <w:shd w:val="clear" w:color="auto" w:fill="FFFFFF"/>
              <w:spacing w:before="100" w:beforeAutospacing="1" w:after="100" w:afterAutospacing="1" w:line="276" w:lineRule="auto"/>
              <w:rPr>
                <w:rFonts w:eastAsia="Times New Roman" w:cs="Arial"/>
              </w:rPr>
            </w:pPr>
            <w:r w:rsidRPr="00A75E0C">
              <w:rPr>
                <w:rFonts w:eastAsia="Times New Roman" w:cs="Arial"/>
              </w:rPr>
              <w:t>Increase the availability of all options to more high school students.</w:t>
            </w:r>
          </w:p>
          <w:p w:rsidR="003E1168" w:rsidRPr="00A75E0C" w:rsidRDefault="0033647F" w:rsidP="00A75E0C">
            <w:pPr>
              <w:numPr>
                <w:ilvl w:val="0"/>
                <w:numId w:val="5"/>
              </w:numPr>
              <w:shd w:val="clear" w:color="auto" w:fill="FFFFFF"/>
              <w:spacing w:before="100" w:beforeAutospacing="1" w:after="100" w:afterAutospacing="1"/>
              <w:rPr>
                <w:rFonts w:ascii="Arial" w:eastAsia="Times New Roman" w:hAnsi="Arial" w:cs="Arial"/>
                <w:sz w:val="20"/>
                <w:szCs w:val="20"/>
              </w:rPr>
            </w:pPr>
            <w:r w:rsidRPr="00A75E0C">
              <w:rPr>
                <w:rFonts w:eastAsia="Times New Roman" w:cs="Arial"/>
              </w:rPr>
              <w:t>Streamline processes for obtaining postsecondary credit.</w:t>
            </w:r>
          </w:p>
        </w:tc>
        <w:tc>
          <w:tcPr>
            <w:tcW w:w="1778" w:type="dxa"/>
          </w:tcPr>
          <w:p w:rsidR="003E1168" w:rsidRPr="00DD7CED" w:rsidRDefault="003E1168"/>
        </w:tc>
        <w:tc>
          <w:tcPr>
            <w:tcW w:w="1642" w:type="dxa"/>
          </w:tcPr>
          <w:p w:rsidR="003E1168" w:rsidRPr="00DD7CED" w:rsidRDefault="00310D1B">
            <w:r>
              <w:t>February/March 2014- October 2014</w:t>
            </w:r>
          </w:p>
        </w:tc>
      </w:tr>
      <w:tr w:rsidR="0008489B" w:rsidRPr="00DD7CED" w:rsidTr="006123DB">
        <w:tc>
          <w:tcPr>
            <w:tcW w:w="6768" w:type="dxa"/>
          </w:tcPr>
          <w:p w:rsidR="0008489B" w:rsidRDefault="0008489B" w:rsidP="00C45C3C">
            <w:pPr>
              <w:rPr>
                <w:b/>
              </w:rPr>
            </w:pPr>
            <w:r>
              <w:rPr>
                <w:b/>
              </w:rPr>
              <w:lastRenderedPageBreak/>
              <w:t>School Improvement Grants (SIG)</w:t>
            </w:r>
          </w:p>
          <w:p w:rsidR="00D153D0" w:rsidRDefault="00F72DFC" w:rsidP="00C45C3C">
            <w:pPr>
              <w:rPr>
                <w:b/>
              </w:rPr>
            </w:pPr>
            <w:hyperlink r:id="rId24" w:history="1">
              <w:r w:rsidR="00D153D0" w:rsidRPr="000D3BBC">
                <w:rPr>
                  <w:rStyle w:val="Hyperlink"/>
                  <w:b/>
                </w:rPr>
                <w:t>http://www2.ed.gov/programs/sif/index.html</w:t>
              </w:r>
            </w:hyperlink>
          </w:p>
          <w:p w:rsidR="00D153D0" w:rsidRDefault="00D153D0" w:rsidP="00C45C3C">
            <w:pPr>
              <w:rPr>
                <w:b/>
              </w:rPr>
            </w:pPr>
          </w:p>
          <w:p w:rsidR="000D0CFE" w:rsidRDefault="00D153D0" w:rsidP="00C45C3C">
            <w:pPr>
              <w:rPr>
                <w:b/>
              </w:rPr>
            </w:pPr>
            <w:r>
              <w:rPr>
                <w:rFonts w:ascii="Verdana" w:hAnsi="Verdana"/>
                <w:color w:val="000000"/>
                <w:sz w:val="18"/>
                <w:szCs w:val="18"/>
                <w:shd w:val="clear" w:color="auto" w:fill="FFFFFF"/>
              </w:rPr>
              <w:t xml:space="preserve">School Improvement Grants (SIG), authorized under section 1003(g) of Title I of the Elementary and Secondary Education Act of 1965 (Title I or ESEA), are grants to State educational agencies (SEAs) that SEAs use to make competitive </w:t>
            </w:r>
            <w:proofErr w:type="spellStart"/>
            <w:r>
              <w:rPr>
                <w:rFonts w:ascii="Verdana" w:hAnsi="Verdana"/>
                <w:color w:val="000000"/>
                <w:sz w:val="18"/>
                <w:szCs w:val="18"/>
                <w:shd w:val="clear" w:color="auto" w:fill="FFFFFF"/>
              </w:rPr>
              <w:t>subgrants</w:t>
            </w:r>
            <w:proofErr w:type="spellEnd"/>
            <w:r>
              <w:rPr>
                <w:rFonts w:ascii="Verdana" w:hAnsi="Verdana"/>
                <w:color w:val="000000"/>
                <w:sz w:val="18"/>
                <w:szCs w:val="18"/>
                <w:shd w:val="clear" w:color="auto" w:fill="FFFFFF"/>
              </w:rPr>
              <w:t xml:space="preserve"> to local educational agencies (LEAs) that demonstrate the greatest need for the funds and the strongest commitment to use the funds to provide adequate resources in order to raise substantially the achievement of students in their lowest-performing schools.</w:t>
            </w:r>
          </w:p>
          <w:p w:rsidR="0008489B" w:rsidRPr="00A75E0C" w:rsidRDefault="0008489B" w:rsidP="00A75E0C"/>
        </w:tc>
        <w:tc>
          <w:tcPr>
            <w:tcW w:w="1800" w:type="dxa"/>
          </w:tcPr>
          <w:p w:rsidR="0008489B" w:rsidRDefault="0008489B">
            <w:r>
              <w:t>SBE</w:t>
            </w:r>
          </w:p>
        </w:tc>
        <w:tc>
          <w:tcPr>
            <w:tcW w:w="1980" w:type="dxa"/>
          </w:tcPr>
          <w:p w:rsidR="0008489B" w:rsidRDefault="0008489B"/>
        </w:tc>
        <w:tc>
          <w:tcPr>
            <w:tcW w:w="5332" w:type="dxa"/>
          </w:tcPr>
          <w:p w:rsidR="0008489B" w:rsidRPr="003D3EFB" w:rsidRDefault="00D153D0" w:rsidP="003D3EFB">
            <w:pPr>
              <w:pStyle w:val="NormalWeb"/>
              <w:numPr>
                <w:ilvl w:val="0"/>
                <w:numId w:val="5"/>
              </w:numPr>
              <w:shd w:val="clear" w:color="auto" w:fill="FFFFFF"/>
            </w:pPr>
            <w:r w:rsidRPr="003D3EFB">
              <w:rPr>
                <w:rFonts w:asciiTheme="minorHAnsi" w:hAnsiTheme="minorHAnsi"/>
                <w:sz w:val="22"/>
                <w:szCs w:val="22"/>
              </w:rPr>
              <w:t>to support school improvement efforts</w:t>
            </w:r>
          </w:p>
        </w:tc>
        <w:tc>
          <w:tcPr>
            <w:tcW w:w="1778" w:type="dxa"/>
          </w:tcPr>
          <w:p w:rsidR="0008489B" w:rsidRPr="00DD7CED" w:rsidRDefault="000450C1">
            <w:r>
              <w:t>Federal funding</w:t>
            </w:r>
          </w:p>
        </w:tc>
        <w:tc>
          <w:tcPr>
            <w:tcW w:w="1642" w:type="dxa"/>
          </w:tcPr>
          <w:p w:rsidR="0008489B" w:rsidRDefault="0008489B"/>
        </w:tc>
      </w:tr>
      <w:tr w:rsidR="00813BD1" w:rsidRPr="00DD7CED" w:rsidTr="006123DB">
        <w:tc>
          <w:tcPr>
            <w:tcW w:w="6768" w:type="dxa"/>
          </w:tcPr>
          <w:p w:rsidR="00813BD1" w:rsidRDefault="00813BD1" w:rsidP="00C45C3C">
            <w:pPr>
              <w:rPr>
                <w:b/>
              </w:rPr>
            </w:pPr>
            <w:r>
              <w:rPr>
                <w:b/>
              </w:rPr>
              <w:t>Teacher Principal Evaluation Project (TPEP)</w:t>
            </w:r>
          </w:p>
          <w:p w:rsidR="00813BD1" w:rsidRDefault="00F72DFC" w:rsidP="00C45C3C">
            <w:pPr>
              <w:rPr>
                <w:b/>
              </w:rPr>
            </w:pPr>
            <w:hyperlink r:id="rId25" w:history="1">
              <w:r w:rsidR="00813BD1" w:rsidRPr="007E693A">
                <w:rPr>
                  <w:rStyle w:val="Hyperlink"/>
                  <w:b/>
                </w:rPr>
                <w:t>http://tpep-wa.org/about-tpep/</w:t>
              </w:r>
            </w:hyperlink>
          </w:p>
          <w:p w:rsidR="00813BD1" w:rsidRDefault="00813BD1" w:rsidP="00C45C3C">
            <w:pPr>
              <w:rPr>
                <w:b/>
              </w:rPr>
            </w:pPr>
          </w:p>
          <w:p w:rsidR="00813BD1" w:rsidRPr="00A75E0C" w:rsidRDefault="00813BD1" w:rsidP="00A75E0C">
            <w:r>
              <w:t xml:space="preserve">A </w:t>
            </w:r>
            <w:r w:rsidRPr="00A75E0C">
              <w:t>Pilot Program created in SB 6696 (2010 Leg. Session) that moved that state from a two-tiered system</w:t>
            </w:r>
            <w:r>
              <w:t xml:space="preserve"> of unsatisfactory</w:t>
            </w:r>
            <w:r w:rsidRPr="00A75E0C">
              <w:t xml:space="preserve"> to a four-tiered evaluation system.</w:t>
            </w:r>
            <w:r>
              <w:t xml:space="preserve"> Created 8 new criteria for teachers and principals to be evaluated upon</w:t>
            </w:r>
          </w:p>
        </w:tc>
        <w:tc>
          <w:tcPr>
            <w:tcW w:w="1800" w:type="dxa"/>
          </w:tcPr>
          <w:p w:rsidR="00813BD1" w:rsidRDefault="00813BD1">
            <w:r>
              <w:t>OSPI, WEA, AWSP, WASA, WSSDA, WSPTA, ESDs, Governor’s Office</w:t>
            </w:r>
          </w:p>
        </w:tc>
        <w:tc>
          <w:tcPr>
            <w:tcW w:w="1980" w:type="dxa"/>
          </w:tcPr>
          <w:p w:rsidR="00813BD1" w:rsidRDefault="00892FC5">
            <w:r>
              <w:t>PFL</w:t>
            </w:r>
          </w:p>
        </w:tc>
        <w:tc>
          <w:tcPr>
            <w:tcW w:w="5332" w:type="dxa"/>
          </w:tcPr>
          <w:p w:rsidR="00813BD1" w:rsidRDefault="00813BD1" w:rsidP="0033647F">
            <w:pPr>
              <w:numPr>
                <w:ilvl w:val="0"/>
                <w:numId w:val="5"/>
              </w:numPr>
              <w:shd w:val="clear" w:color="auto" w:fill="FFFFFF"/>
              <w:spacing w:before="100" w:beforeAutospacing="1" w:after="100" w:afterAutospacing="1"/>
            </w:pPr>
            <w:r>
              <w:t>Improve student learning through improved teaching and leadership</w:t>
            </w:r>
          </w:p>
          <w:p w:rsidR="00813BD1" w:rsidRDefault="000450C1" w:rsidP="0033647F">
            <w:pPr>
              <w:numPr>
                <w:ilvl w:val="0"/>
                <w:numId w:val="5"/>
              </w:numPr>
              <w:shd w:val="clear" w:color="auto" w:fill="FFFFFF"/>
              <w:spacing w:before="100" w:beforeAutospacing="1" w:after="100" w:afterAutospacing="1"/>
            </w:pPr>
            <w:r>
              <w:t>Improve educator preparation , school district accountability, and academic standards</w:t>
            </w:r>
          </w:p>
        </w:tc>
        <w:tc>
          <w:tcPr>
            <w:tcW w:w="1778" w:type="dxa"/>
          </w:tcPr>
          <w:p w:rsidR="00813BD1" w:rsidRPr="00DD7CED" w:rsidRDefault="000450C1">
            <w:r>
              <w:t>State funding for pilot sites, additional RIGs to expand reach of program</w:t>
            </w:r>
          </w:p>
        </w:tc>
        <w:tc>
          <w:tcPr>
            <w:tcW w:w="1642" w:type="dxa"/>
          </w:tcPr>
          <w:p w:rsidR="00813BD1" w:rsidRDefault="000450C1" w:rsidP="00A75E0C">
            <w:r>
              <w:t xml:space="preserve"> 2010-</w:t>
            </w:r>
            <w:r w:rsidR="003723FC">
              <w:t xml:space="preserve"> 2014</w:t>
            </w:r>
          </w:p>
        </w:tc>
      </w:tr>
      <w:tr w:rsidR="003723FC" w:rsidRPr="00DD7CED" w:rsidTr="006123DB">
        <w:tc>
          <w:tcPr>
            <w:tcW w:w="6768" w:type="dxa"/>
          </w:tcPr>
          <w:p w:rsidR="003723FC" w:rsidRDefault="003723FC" w:rsidP="00C45C3C">
            <w:pPr>
              <w:rPr>
                <w:b/>
              </w:rPr>
            </w:pPr>
            <w:r>
              <w:rPr>
                <w:b/>
              </w:rPr>
              <w:t>High School and Beyond Plan</w:t>
            </w:r>
          </w:p>
          <w:p w:rsidR="000D0CFE" w:rsidRDefault="00F72DFC" w:rsidP="00C45C3C">
            <w:pPr>
              <w:rPr>
                <w:b/>
              </w:rPr>
            </w:pPr>
            <w:hyperlink r:id="rId26" w:anchor=".UuF5ThDTnRY" w:history="1">
              <w:r w:rsidR="000D0CFE" w:rsidRPr="000D3BBC">
                <w:rPr>
                  <w:rStyle w:val="Hyperlink"/>
                  <w:b/>
                </w:rPr>
                <w:t>http://www.sbe.wa.gov/faq/highschoolbeyondplan.php#.UuF5ThDTnRY</w:t>
              </w:r>
            </w:hyperlink>
            <w:r w:rsidR="000D0CFE">
              <w:rPr>
                <w:b/>
              </w:rPr>
              <w:t xml:space="preserve"> </w:t>
            </w:r>
          </w:p>
          <w:p w:rsidR="000D0CFE" w:rsidRDefault="00F72DFC" w:rsidP="00C45C3C">
            <w:pPr>
              <w:rPr>
                <w:b/>
              </w:rPr>
            </w:pPr>
            <w:hyperlink r:id="rId27" w:history="1">
              <w:r w:rsidR="000D0CFE" w:rsidRPr="000D3BBC">
                <w:rPr>
                  <w:rStyle w:val="Hyperlink"/>
                  <w:b/>
                </w:rPr>
                <w:t>http://www.k12.wa.us/graduationrequirements/Requirement-HighSchoolBeyond.aspx</w:t>
              </w:r>
            </w:hyperlink>
            <w:r w:rsidR="000D0CFE">
              <w:rPr>
                <w:b/>
              </w:rPr>
              <w:t xml:space="preserve"> </w:t>
            </w:r>
          </w:p>
          <w:p w:rsidR="000D0CFE" w:rsidRDefault="000D0CFE" w:rsidP="00C45C3C">
            <w:pPr>
              <w:rPr>
                <w:b/>
              </w:rPr>
            </w:pPr>
          </w:p>
          <w:p w:rsidR="000D0CFE" w:rsidRPr="00A75E0C" w:rsidRDefault="00630056" w:rsidP="00A75E0C">
            <w:r>
              <w:t>A four-year plan for course-taking and career interests/goals e</w:t>
            </w:r>
            <w:r w:rsidR="000D0CFE">
              <w:t xml:space="preserve">stablished as a high school </w:t>
            </w:r>
            <w:r>
              <w:t>graduation requirement in 2000. S</w:t>
            </w:r>
            <w:r w:rsidR="000D0CFE">
              <w:t>tudents create their High School and Beyond plans with parents/guardians and school staff. Students write their plans in middle school and continue to revise through high school to accommodate changing interests and goals.</w:t>
            </w:r>
          </w:p>
        </w:tc>
        <w:tc>
          <w:tcPr>
            <w:tcW w:w="1800" w:type="dxa"/>
          </w:tcPr>
          <w:p w:rsidR="003723FC" w:rsidRDefault="003723FC">
            <w:r>
              <w:t>SBE</w:t>
            </w:r>
          </w:p>
        </w:tc>
        <w:tc>
          <w:tcPr>
            <w:tcW w:w="1980" w:type="dxa"/>
          </w:tcPr>
          <w:p w:rsidR="003723FC" w:rsidRDefault="003723FC">
            <w:r>
              <w:t>OSPI</w:t>
            </w:r>
          </w:p>
        </w:tc>
        <w:tc>
          <w:tcPr>
            <w:tcW w:w="5332" w:type="dxa"/>
          </w:tcPr>
          <w:p w:rsidR="003723FC" w:rsidRDefault="000D0CFE" w:rsidP="0033647F">
            <w:pPr>
              <w:numPr>
                <w:ilvl w:val="0"/>
                <w:numId w:val="5"/>
              </w:numPr>
              <w:shd w:val="clear" w:color="auto" w:fill="FFFFFF"/>
              <w:spacing w:before="100" w:beforeAutospacing="1" w:after="100" w:afterAutospacing="1"/>
            </w:pPr>
            <w:r>
              <w:t>to help students think about their future and select coursework that will best prepare them for their post high school goals</w:t>
            </w:r>
          </w:p>
        </w:tc>
        <w:tc>
          <w:tcPr>
            <w:tcW w:w="1778" w:type="dxa"/>
          </w:tcPr>
          <w:p w:rsidR="003723FC" w:rsidRDefault="003723FC"/>
        </w:tc>
        <w:tc>
          <w:tcPr>
            <w:tcW w:w="1642" w:type="dxa"/>
          </w:tcPr>
          <w:p w:rsidR="003723FC" w:rsidRDefault="003723FC" w:rsidP="003723FC"/>
        </w:tc>
      </w:tr>
      <w:tr w:rsidR="003723FC" w:rsidRPr="00DD7CED" w:rsidTr="006123DB">
        <w:tc>
          <w:tcPr>
            <w:tcW w:w="6768" w:type="dxa"/>
          </w:tcPr>
          <w:p w:rsidR="003723FC" w:rsidRDefault="00892FC5" w:rsidP="00C45C3C">
            <w:pPr>
              <w:rPr>
                <w:b/>
              </w:rPr>
            </w:pPr>
            <w:r>
              <w:rPr>
                <w:b/>
              </w:rPr>
              <w:t xml:space="preserve">The </w:t>
            </w:r>
            <w:r w:rsidR="003723FC">
              <w:rPr>
                <w:b/>
              </w:rPr>
              <w:t>Roadmap</w:t>
            </w:r>
            <w:r>
              <w:rPr>
                <w:b/>
              </w:rPr>
              <w:t>: A Plan to Increase Educational Attainment in Washington</w:t>
            </w:r>
          </w:p>
          <w:p w:rsidR="003723FC" w:rsidRDefault="00F72DFC" w:rsidP="00C45C3C">
            <w:pPr>
              <w:rPr>
                <w:b/>
              </w:rPr>
            </w:pPr>
            <w:hyperlink r:id="rId28" w:history="1">
              <w:r w:rsidR="003723FC" w:rsidRPr="007E693A">
                <w:rPr>
                  <w:rStyle w:val="Hyperlink"/>
                  <w:b/>
                </w:rPr>
                <w:t>http://www.wsac.wa.gov/Roadmap</w:t>
              </w:r>
            </w:hyperlink>
          </w:p>
          <w:p w:rsidR="003723FC" w:rsidRDefault="003723FC" w:rsidP="00C45C3C">
            <w:pPr>
              <w:rPr>
                <w:b/>
              </w:rPr>
            </w:pPr>
          </w:p>
          <w:p w:rsidR="00C31F8F" w:rsidRPr="00A75E0C" w:rsidRDefault="00C31F8F" w:rsidP="00C45C3C">
            <w:r w:rsidRPr="00A75E0C">
              <w:t>Sets a clear course to increase educational attainment for all Washingtonians. Some areas of focus are:</w:t>
            </w:r>
          </w:p>
          <w:p w:rsidR="003723FC" w:rsidRDefault="003723FC" w:rsidP="00A75E0C">
            <w:pPr>
              <w:pStyle w:val="ListParagraph"/>
              <w:numPr>
                <w:ilvl w:val="0"/>
                <w:numId w:val="5"/>
              </w:numPr>
            </w:pPr>
            <w:r w:rsidRPr="00A75E0C">
              <w:t>College and career readiness</w:t>
            </w:r>
          </w:p>
          <w:p w:rsidR="00C31F8F" w:rsidRDefault="00C31F8F" w:rsidP="00A75E0C">
            <w:pPr>
              <w:pStyle w:val="ListParagraph"/>
              <w:numPr>
                <w:ilvl w:val="0"/>
                <w:numId w:val="5"/>
              </w:numPr>
            </w:pPr>
            <w:r>
              <w:lastRenderedPageBreak/>
              <w:t>Dual Credit</w:t>
            </w:r>
          </w:p>
          <w:p w:rsidR="00C31F8F" w:rsidRPr="00A75E0C" w:rsidRDefault="00C31F8F" w:rsidP="00A75E0C">
            <w:pPr>
              <w:pStyle w:val="ListParagraph"/>
              <w:numPr>
                <w:ilvl w:val="0"/>
                <w:numId w:val="5"/>
              </w:numPr>
            </w:pPr>
            <w:r>
              <w:t>Supporting Students</w:t>
            </w:r>
          </w:p>
          <w:p w:rsidR="003723FC" w:rsidRDefault="003723FC" w:rsidP="00C45C3C">
            <w:pPr>
              <w:rPr>
                <w:b/>
              </w:rPr>
            </w:pPr>
          </w:p>
        </w:tc>
        <w:tc>
          <w:tcPr>
            <w:tcW w:w="1800" w:type="dxa"/>
          </w:tcPr>
          <w:p w:rsidR="003723FC" w:rsidRDefault="003723FC">
            <w:r>
              <w:lastRenderedPageBreak/>
              <w:t>WSAC</w:t>
            </w:r>
          </w:p>
        </w:tc>
        <w:tc>
          <w:tcPr>
            <w:tcW w:w="1980" w:type="dxa"/>
          </w:tcPr>
          <w:p w:rsidR="003723FC" w:rsidRDefault="003723FC"/>
        </w:tc>
        <w:tc>
          <w:tcPr>
            <w:tcW w:w="5332" w:type="dxa"/>
          </w:tcPr>
          <w:p w:rsidR="003723FC" w:rsidRDefault="00C31F8F" w:rsidP="00A75E0C">
            <w:pPr>
              <w:shd w:val="clear" w:color="auto" w:fill="FFFFFF"/>
              <w:spacing w:before="100" w:beforeAutospacing="1" w:after="100" w:afterAutospacing="1"/>
            </w:pPr>
            <w:r>
              <w:t>By 2023:</w:t>
            </w:r>
          </w:p>
          <w:p w:rsidR="00C31F8F" w:rsidRDefault="00C31F8F" w:rsidP="00A75E0C">
            <w:pPr>
              <w:pStyle w:val="ListParagraph"/>
              <w:numPr>
                <w:ilvl w:val="0"/>
                <w:numId w:val="17"/>
              </w:numPr>
              <w:shd w:val="clear" w:color="auto" w:fill="FFFFFF"/>
              <w:spacing w:before="100" w:beforeAutospacing="1" w:after="100" w:afterAutospacing="1"/>
            </w:pPr>
            <w:r>
              <w:t>All adults in Washington will have a high school diploma or equivalent</w:t>
            </w:r>
          </w:p>
          <w:p w:rsidR="00C31F8F" w:rsidRDefault="00C31F8F" w:rsidP="00A75E0C">
            <w:pPr>
              <w:pStyle w:val="ListParagraph"/>
              <w:numPr>
                <w:ilvl w:val="0"/>
                <w:numId w:val="17"/>
              </w:numPr>
              <w:shd w:val="clear" w:color="auto" w:fill="FFFFFF"/>
              <w:spacing w:before="100" w:beforeAutospacing="1" w:after="100" w:afterAutospacing="1"/>
            </w:pPr>
            <w:r>
              <w:t>At least 70% of Washington adults will have a postsecondary credential</w:t>
            </w:r>
          </w:p>
        </w:tc>
        <w:tc>
          <w:tcPr>
            <w:tcW w:w="1778" w:type="dxa"/>
          </w:tcPr>
          <w:p w:rsidR="003723FC" w:rsidRDefault="003723FC"/>
        </w:tc>
        <w:tc>
          <w:tcPr>
            <w:tcW w:w="1642" w:type="dxa"/>
          </w:tcPr>
          <w:p w:rsidR="003723FC" w:rsidRDefault="003723FC" w:rsidP="003723FC"/>
        </w:tc>
      </w:tr>
      <w:tr w:rsidR="0085042A" w:rsidRPr="00DD7CED" w:rsidTr="006123DB">
        <w:tc>
          <w:tcPr>
            <w:tcW w:w="6768" w:type="dxa"/>
          </w:tcPr>
          <w:p w:rsidR="0085042A" w:rsidRDefault="0085042A" w:rsidP="00C45C3C">
            <w:pPr>
              <w:rPr>
                <w:b/>
              </w:rPr>
            </w:pPr>
            <w:r>
              <w:rPr>
                <w:b/>
              </w:rPr>
              <w:lastRenderedPageBreak/>
              <w:t>Achievement and Accountability Workgroup</w:t>
            </w:r>
          </w:p>
          <w:p w:rsidR="0085042A" w:rsidRDefault="00F72DFC" w:rsidP="00C45C3C">
            <w:pPr>
              <w:rPr>
                <w:rStyle w:val="Hyperlink"/>
                <w:b/>
              </w:rPr>
            </w:pPr>
            <w:hyperlink r:id="rId29" w:anchor=".UuBV5xDTnRY" w:history="1">
              <w:r w:rsidR="0085042A" w:rsidRPr="007E693A">
                <w:rPr>
                  <w:rStyle w:val="Hyperlink"/>
                  <w:b/>
                </w:rPr>
                <w:t>http://www.sbe.wa.gov/aaw.php#.UuBV5xDTnRY</w:t>
              </w:r>
            </w:hyperlink>
          </w:p>
          <w:p w:rsidR="0085042A" w:rsidRPr="00ED4BAC" w:rsidRDefault="00ED4BAC" w:rsidP="00ED4BAC">
            <w:r w:rsidRPr="00ED4BAC">
              <w:rPr>
                <w:rStyle w:val="Hyperlink"/>
                <w:color w:val="auto"/>
                <w:u w:val="none"/>
              </w:rPr>
              <w:t>A group of stakeholders will be convened to inform and advise the SBE on development of the revised achievement index. This group will respond to SBE policy questions and provide stakeho</w:t>
            </w:r>
            <w:r>
              <w:rPr>
                <w:rStyle w:val="Hyperlink"/>
                <w:color w:val="auto"/>
                <w:u w:val="none"/>
              </w:rPr>
              <w:t>lder perspectives.</w:t>
            </w:r>
          </w:p>
        </w:tc>
        <w:tc>
          <w:tcPr>
            <w:tcW w:w="1800" w:type="dxa"/>
          </w:tcPr>
          <w:p w:rsidR="0085042A" w:rsidRDefault="0085042A">
            <w:r>
              <w:t>SBE</w:t>
            </w:r>
          </w:p>
        </w:tc>
        <w:tc>
          <w:tcPr>
            <w:tcW w:w="1980" w:type="dxa"/>
          </w:tcPr>
          <w:p w:rsidR="0085042A" w:rsidRDefault="005B316A">
            <w:r>
              <w:t>PF</w:t>
            </w:r>
            <w:r w:rsidR="0085042A">
              <w:t>L, DEL, WTECB, WSSDA, STAND, SBCTC, WEA, WSAC, AESD, BEAC, EOGOAC, LEV, GOV, CAPAA, AWSP, CHA, SEAC, WASA, WAPTA, CAAA, GOIA</w:t>
            </w:r>
          </w:p>
        </w:tc>
        <w:tc>
          <w:tcPr>
            <w:tcW w:w="5332" w:type="dxa"/>
          </w:tcPr>
          <w:p w:rsidR="0085042A" w:rsidRDefault="00925AE3" w:rsidP="00A75E0C">
            <w:pPr>
              <w:numPr>
                <w:ilvl w:val="0"/>
                <w:numId w:val="5"/>
              </w:numPr>
              <w:shd w:val="clear" w:color="auto" w:fill="FFFFFF"/>
              <w:spacing w:before="100" w:beforeAutospacing="1" w:after="100" w:afterAutospacing="1"/>
            </w:pPr>
            <w:r>
              <w:t xml:space="preserve">to develop a user-friendly school assessment tool that would identify schools for state recognition; identify schools that may need additional state support; utilize fair, consistent, and transparent criteria; measure student performance on statewide assessments; and track graduation rates. </w:t>
            </w:r>
          </w:p>
        </w:tc>
        <w:tc>
          <w:tcPr>
            <w:tcW w:w="1778" w:type="dxa"/>
          </w:tcPr>
          <w:p w:rsidR="0085042A" w:rsidRDefault="0085042A"/>
        </w:tc>
        <w:tc>
          <w:tcPr>
            <w:tcW w:w="1642" w:type="dxa"/>
          </w:tcPr>
          <w:p w:rsidR="0085042A" w:rsidRDefault="0085042A" w:rsidP="003723FC"/>
        </w:tc>
      </w:tr>
      <w:tr w:rsidR="00C63110" w:rsidRPr="00DD7CED" w:rsidTr="006123DB">
        <w:tc>
          <w:tcPr>
            <w:tcW w:w="6768" w:type="dxa"/>
          </w:tcPr>
          <w:p w:rsidR="00C63110" w:rsidRDefault="00DF7DE7" w:rsidP="00C45C3C">
            <w:pPr>
              <w:rPr>
                <w:b/>
              </w:rPr>
            </w:pPr>
            <w:r>
              <w:rPr>
                <w:b/>
              </w:rPr>
              <w:t>STEM Alliance</w:t>
            </w:r>
          </w:p>
          <w:p w:rsidR="00AC1A8C" w:rsidRDefault="00F72DFC" w:rsidP="00C45C3C">
            <w:pPr>
              <w:rPr>
                <w:b/>
              </w:rPr>
            </w:pPr>
            <w:hyperlink r:id="rId30" w:history="1">
              <w:r w:rsidR="00AC1A8C" w:rsidRPr="000D3BBC">
                <w:rPr>
                  <w:rStyle w:val="Hyperlink"/>
                  <w:b/>
                </w:rPr>
                <w:t>http://apps.leg.wa.gov/billinfo/summary.aspx?bill=1872&amp;year=2013</w:t>
              </w:r>
            </w:hyperlink>
            <w:r w:rsidR="00AC1A8C">
              <w:rPr>
                <w:b/>
              </w:rPr>
              <w:t xml:space="preserve"> </w:t>
            </w:r>
          </w:p>
          <w:p w:rsidR="00DF7DE7" w:rsidRDefault="00DF7DE7" w:rsidP="00C45C3C">
            <w:pPr>
              <w:rPr>
                <w:b/>
              </w:rPr>
            </w:pPr>
          </w:p>
          <w:p w:rsidR="00DF7DE7" w:rsidRPr="00A75E0C" w:rsidRDefault="00DF7DE7" w:rsidP="00A75E0C">
            <w:r w:rsidRPr="00A75E0C">
              <w:t xml:space="preserve">Created in HB 1872, </w:t>
            </w:r>
            <w:r w:rsidR="00AC1A8C" w:rsidRPr="00A75E0C">
              <w:t xml:space="preserve">the stem education innovation alliance advises the Governor and provides vision and guidance in support of STEM </w:t>
            </w:r>
            <w:r w:rsidR="000D0CFE">
              <w:t xml:space="preserve">(Science, Technology, Engineering, and Mathematics) </w:t>
            </w:r>
            <w:r w:rsidR="00AC1A8C" w:rsidRPr="00A75E0C">
              <w:t>education initiatives from early learning through postsecondary education.</w:t>
            </w:r>
          </w:p>
        </w:tc>
        <w:tc>
          <w:tcPr>
            <w:tcW w:w="1800" w:type="dxa"/>
          </w:tcPr>
          <w:p w:rsidR="00C63110" w:rsidRDefault="00AC1A8C">
            <w:r>
              <w:t>Governor’s Office</w:t>
            </w:r>
          </w:p>
        </w:tc>
        <w:tc>
          <w:tcPr>
            <w:tcW w:w="1980" w:type="dxa"/>
          </w:tcPr>
          <w:p w:rsidR="00C63110" w:rsidRDefault="00AC1A8C">
            <w:r>
              <w:t>WA STEM</w:t>
            </w:r>
            <w:r w:rsidR="000D0CFE">
              <w:t>, OSPI, WSAC</w:t>
            </w:r>
          </w:p>
        </w:tc>
        <w:tc>
          <w:tcPr>
            <w:tcW w:w="5332" w:type="dxa"/>
          </w:tcPr>
          <w:p w:rsidR="00C63110" w:rsidRDefault="00DF7DE7" w:rsidP="00A75E0C">
            <w:pPr>
              <w:numPr>
                <w:ilvl w:val="0"/>
                <w:numId w:val="5"/>
              </w:numPr>
              <w:shd w:val="clear" w:color="auto" w:fill="FFFFFF"/>
              <w:spacing w:before="100" w:beforeAutospacing="1" w:after="100" w:afterAutospacing="1"/>
            </w:pPr>
            <w:r>
              <w:t>Increase learning opportunities and improve educational outcomes in science, technology, engineering, and mathematics through multiple strategies and statewide partnerships.</w:t>
            </w:r>
          </w:p>
        </w:tc>
        <w:tc>
          <w:tcPr>
            <w:tcW w:w="1778" w:type="dxa"/>
          </w:tcPr>
          <w:p w:rsidR="00C63110" w:rsidRDefault="00C63110"/>
        </w:tc>
        <w:tc>
          <w:tcPr>
            <w:tcW w:w="1642" w:type="dxa"/>
          </w:tcPr>
          <w:p w:rsidR="00C63110" w:rsidRDefault="00C63110" w:rsidP="003723FC"/>
        </w:tc>
      </w:tr>
      <w:tr w:rsidR="00AC1A8C" w:rsidRPr="00DD7CED" w:rsidTr="006123DB">
        <w:tc>
          <w:tcPr>
            <w:tcW w:w="6768" w:type="dxa"/>
          </w:tcPr>
          <w:p w:rsidR="00AC1A8C" w:rsidRDefault="00124153" w:rsidP="00C45C3C">
            <w:pPr>
              <w:rPr>
                <w:b/>
              </w:rPr>
            </w:pPr>
            <w:r>
              <w:rPr>
                <w:b/>
              </w:rPr>
              <w:t>Washington Council for High School-College Relations (</w:t>
            </w:r>
            <w:r w:rsidR="00AC1A8C">
              <w:rPr>
                <w:b/>
              </w:rPr>
              <w:t>WCHSCR</w:t>
            </w:r>
            <w:r>
              <w:rPr>
                <w:b/>
              </w:rPr>
              <w:t>)</w:t>
            </w:r>
          </w:p>
          <w:p w:rsidR="00124153" w:rsidRDefault="00F72DFC" w:rsidP="00C45C3C">
            <w:pPr>
              <w:rPr>
                <w:b/>
              </w:rPr>
            </w:pPr>
            <w:hyperlink r:id="rId31" w:history="1">
              <w:r w:rsidR="00124153" w:rsidRPr="000D3BBC">
                <w:rPr>
                  <w:rStyle w:val="Hyperlink"/>
                  <w:b/>
                </w:rPr>
                <w:t>http://www.washingtoncouncil.org/wcboard.htm</w:t>
              </w:r>
            </w:hyperlink>
            <w:r w:rsidR="00124153">
              <w:rPr>
                <w:b/>
              </w:rPr>
              <w:t xml:space="preserve"> </w:t>
            </w:r>
          </w:p>
          <w:p w:rsidR="00124153" w:rsidRDefault="00124153" w:rsidP="00C45C3C">
            <w:pPr>
              <w:rPr>
                <w:b/>
              </w:rPr>
            </w:pPr>
          </w:p>
          <w:p w:rsidR="00124153" w:rsidRPr="003D3EFB" w:rsidRDefault="00124153" w:rsidP="00C45C3C">
            <w:pPr>
              <w:spacing w:after="200" w:line="276" w:lineRule="auto"/>
            </w:pPr>
            <w:r>
              <w:t>WCHSCR operates for educational purposes, and is organized to assist all Washington state students to access and engage in postsecondary opportunities at its member institutions</w:t>
            </w:r>
          </w:p>
          <w:p w:rsidR="00D10EF3" w:rsidRDefault="00D10EF3" w:rsidP="00C45C3C">
            <w:pPr>
              <w:rPr>
                <w:b/>
              </w:rPr>
            </w:pPr>
          </w:p>
        </w:tc>
        <w:tc>
          <w:tcPr>
            <w:tcW w:w="1800" w:type="dxa"/>
          </w:tcPr>
          <w:p w:rsidR="00AC1A8C" w:rsidRDefault="00AC1A8C"/>
        </w:tc>
        <w:tc>
          <w:tcPr>
            <w:tcW w:w="1980" w:type="dxa"/>
          </w:tcPr>
          <w:p w:rsidR="00AC1A8C" w:rsidRDefault="00AC1A8C"/>
        </w:tc>
        <w:tc>
          <w:tcPr>
            <w:tcW w:w="5332" w:type="dxa"/>
          </w:tcPr>
          <w:p w:rsidR="00AC1A8C" w:rsidRDefault="00AC1A8C">
            <w:pPr>
              <w:numPr>
                <w:ilvl w:val="0"/>
                <w:numId w:val="5"/>
              </w:numPr>
              <w:shd w:val="clear" w:color="auto" w:fill="FFFFFF"/>
              <w:spacing w:before="100" w:beforeAutospacing="1" w:after="100" w:afterAutospacing="1"/>
            </w:pPr>
          </w:p>
        </w:tc>
        <w:tc>
          <w:tcPr>
            <w:tcW w:w="1778" w:type="dxa"/>
          </w:tcPr>
          <w:p w:rsidR="00AC1A8C" w:rsidRDefault="00AC1A8C"/>
        </w:tc>
        <w:tc>
          <w:tcPr>
            <w:tcW w:w="1642" w:type="dxa"/>
          </w:tcPr>
          <w:p w:rsidR="00AC1A8C" w:rsidRDefault="00AC1A8C" w:rsidP="003723FC"/>
        </w:tc>
      </w:tr>
      <w:tr w:rsidR="00D34CB4" w:rsidRPr="00DD7CED" w:rsidTr="006123DB">
        <w:tc>
          <w:tcPr>
            <w:tcW w:w="6768" w:type="dxa"/>
          </w:tcPr>
          <w:p w:rsidR="00204D82" w:rsidRDefault="00204D82" w:rsidP="00204D82">
            <w:pPr>
              <w:rPr>
                <w:b/>
              </w:rPr>
            </w:pPr>
            <w:r>
              <w:rPr>
                <w:b/>
              </w:rPr>
              <w:t>College and Career Readiness (CCR) Standards and Assessments Advisory Committee</w:t>
            </w:r>
          </w:p>
          <w:p w:rsidR="00204D82" w:rsidRPr="00204D82" w:rsidRDefault="00204D82" w:rsidP="00204D82">
            <w:pPr>
              <w:rPr>
                <w:b/>
              </w:rPr>
            </w:pPr>
          </w:p>
          <w:p w:rsidR="00D34CB4" w:rsidRDefault="00204D82" w:rsidP="00204D82">
            <w:pPr>
              <w:rPr>
                <w:b/>
              </w:rPr>
            </w:pPr>
            <w:r>
              <w:rPr>
                <w:rFonts w:ascii="Calibri" w:hAnsi="Calibri" w:cs="Calibri"/>
              </w:rPr>
              <w:t xml:space="preserve">OSPI’s Career and College Ready Standards and Assessments Advisory Committee will serve as the primary sounding board to </w:t>
            </w:r>
            <w:proofErr w:type="gramStart"/>
            <w:r>
              <w:rPr>
                <w:rFonts w:ascii="Calibri" w:hAnsi="Calibri" w:cs="Calibri"/>
              </w:rPr>
              <w:t>advise</w:t>
            </w:r>
            <w:proofErr w:type="gramEnd"/>
            <w:r>
              <w:rPr>
                <w:rFonts w:ascii="Calibri" w:hAnsi="Calibri" w:cs="Calibri"/>
              </w:rPr>
              <w:t xml:space="preserve"> and guide OSPI on the variety of activities related to implementation and transition to the state’s CCR standards and assessments. The Committee will serve as a nexus group to inform communications and resource development </w:t>
            </w:r>
            <w:r>
              <w:rPr>
                <w:rFonts w:ascii="Calibri" w:hAnsi="Calibri" w:cs="Calibri"/>
              </w:rPr>
              <w:lastRenderedPageBreak/>
              <w:t>that connects CCSS, NGSS, Smarter Balanced and TPEP</w:t>
            </w:r>
          </w:p>
        </w:tc>
        <w:tc>
          <w:tcPr>
            <w:tcW w:w="1800" w:type="dxa"/>
          </w:tcPr>
          <w:p w:rsidR="00D34CB4" w:rsidRDefault="00204D82">
            <w:r>
              <w:lastRenderedPageBreak/>
              <w:t>OSPI</w:t>
            </w:r>
          </w:p>
        </w:tc>
        <w:tc>
          <w:tcPr>
            <w:tcW w:w="1980" w:type="dxa"/>
          </w:tcPr>
          <w:p w:rsidR="00D34CB4" w:rsidRDefault="005B316A">
            <w:r>
              <w:t>WSAC, PF</w:t>
            </w:r>
            <w:r w:rsidR="00204D82">
              <w:t>L, WA STEM, SBCTC, AWSP</w:t>
            </w:r>
          </w:p>
        </w:tc>
        <w:tc>
          <w:tcPr>
            <w:tcW w:w="5332" w:type="dxa"/>
          </w:tcPr>
          <w:p w:rsidR="00204D82" w:rsidRDefault="00204D82" w:rsidP="00204D82">
            <w:pPr>
              <w:numPr>
                <w:ilvl w:val="0"/>
                <w:numId w:val="5"/>
              </w:numPr>
              <w:rPr>
                <w:rFonts w:ascii="Calibri" w:hAnsi="Calibri" w:cs="Calibri"/>
              </w:rPr>
            </w:pPr>
            <w:r>
              <w:rPr>
                <w:rFonts w:ascii="Calibri" w:hAnsi="Calibri" w:cs="Calibri"/>
              </w:rPr>
              <w:t>Guide Washington’s approach and vision for CCSS, Smarter Balanced, and NGSS implementation</w:t>
            </w:r>
          </w:p>
          <w:p w:rsidR="00204D82" w:rsidRDefault="00204D82" w:rsidP="00204D82">
            <w:pPr>
              <w:numPr>
                <w:ilvl w:val="0"/>
                <w:numId w:val="5"/>
              </w:numPr>
              <w:rPr>
                <w:rFonts w:ascii="Calibri" w:hAnsi="Calibri" w:cs="Calibri"/>
              </w:rPr>
            </w:pPr>
            <w:r>
              <w:rPr>
                <w:rFonts w:ascii="Calibri" w:hAnsi="Calibri" w:cs="Calibri"/>
              </w:rPr>
              <w:t>Serve as the primary sounding board for OSPI on key issues related to the adoption and implementation of the CCSS, NGSS, and transitions to the Smarter Balanced Assessment system</w:t>
            </w:r>
          </w:p>
          <w:p w:rsidR="00204D82" w:rsidRDefault="00204D82" w:rsidP="00204D82">
            <w:pPr>
              <w:numPr>
                <w:ilvl w:val="0"/>
                <w:numId w:val="5"/>
              </w:numPr>
              <w:rPr>
                <w:rFonts w:ascii="Calibri" w:hAnsi="Calibri" w:cs="Calibri"/>
              </w:rPr>
            </w:pPr>
            <w:r>
              <w:rPr>
                <w:rFonts w:ascii="Calibri" w:hAnsi="Calibri" w:cs="Calibri"/>
              </w:rPr>
              <w:lastRenderedPageBreak/>
              <w:t>Stay apprised of statewide efforts related to TPEP and other relevant bodies of work in order to inform guidance.</w:t>
            </w:r>
          </w:p>
          <w:p w:rsidR="00204D82" w:rsidRPr="003B602E" w:rsidRDefault="00204D82" w:rsidP="00204D82">
            <w:pPr>
              <w:numPr>
                <w:ilvl w:val="0"/>
                <w:numId w:val="5"/>
              </w:numPr>
              <w:rPr>
                <w:rFonts w:ascii="Calibri" w:hAnsi="Calibri" w:cs="Calibri"/>
              </w:rPr>
            </w:pPr>
            <w:r>
              <w:rPr>
                <w:rFonts w:ascii="Calibri" w:hAnsi="Calibri" w:cs="Calibri"/>
              </w:rPr>
              <w:t>Provide input on the development of specific tools and resources for school districts for supporting the transition to the CCSS, NGSS, and Smarter Balanced</w:t>
            </w:r>
          </w:p>
          <w:p w:rsidR="00D34CB4" w:rsidRPr="00204D82" w:rsidRDefault="00204D82" w:rsidP="00204D82">
            <w:pPr>
              <w:numPr>
                <w:ilvl w:val="0"/>
                <w:numId w:val="5"/>
              </w:numPr>
              <w:rPr>
                <w:rFonts w:ascii="Calibri" w:hAnsi="Calibri" w:cs="Calibri"/>
              </w:rPr>
            </w:pPr>
            <w:r w:rsidRPr="00E74856">
              <w:rPr>
                <w:rFonts w:ascii="Calibri" w:hAnsi="Calibri" w:cs="Calibri"/>
              </w:rPr>
              <w:t xml:space="preserve">Provide perspective, information, advice, guidance, and recommendations to OSPI on proposed structures, program approaches/initiatives, and messages related to implementation and statewide supports, including strategy for connections to other </w:t>
            </w:r>
            <w:r>
              <w:rPr>
                <w:rFonts w:ascii="Calibri" w:hAnsi="Calibri" w:cs="Calibri"/>
              </w:rPr>
              <w:t xml:space="preserve">related </w:t>
            </w:r>
            <w:r w:rsidRPr="00E74856">
              <w:rPr>
                <w:rFonts w:ascii="Calibri" w:hAnsi="Calibri" w:cs="Calibri"/>
              </w:rPr>
              <w:t xml:space="preserve">statewide initiatives </w:t>
            </w:r>
          </w:p>
        </w:tc>
        <w:tc>
          <w:tcPr>
            <w:tcW w:w="1778" w:type="dxa"/>
          </w:tcPr>
          <w:p w:rsidR="00D34CB4" w:rsidRDefault="00D34CB4"/>
        </w:tc>
        <w:tc>
          <w:tcPr>
            <w:tcW w:w="1642" w:type="dxa"/>
          </w:tcPr>
          <w:p w:rsidR="00D34CB4" w:rsidRDefault="00D34CB4" w:rsidP="003723FC"/>
        </w:tc>
      </w:tr>
      <w:tr w:rsidR="00204D82" w:rsidRPr="00DD7CED" w:rsidTr="006123DB">
        <w:tc>
          <w:tcPr>
            <w:tcW w:w="6768" w:type="dxa"/>
          </w:tcPr>
          <w:p w:rsidR="00204D82" w:rsidRPr="00204D82" w:rsidRDefault="00204D82" w:rsidP="00204D82">
            <w:pPr>
              <w:rPr>
                <w:b/>
              </w:rPr>
            </w:pPr>
            <w:r w:rsidRPr="00204D82">
              <w:rPr>
                <w:b/>
              </w:rPr>
              <w:lastRenderedPageBreak/>
              <w:t>Network to Trans</w:t>
            </w:r>
            <w:r>
              <w:rPr>
                <w:b/>
              </w:rPr>
              <w:t xml:space="preserve">form Educator Preparation </w:t>
            </w:r>
          </w:p>
          <w:p w:rsidR="00F127B9" w:rsidRDefault="00F127B9" w:rsidP="00F127B9"/>
          <w:p w:rsidR="00F127B9" w:rsidRDefault="00F127B9" w:rsidP="00F127B9">
            <w:r>
              <w:t xml:space="preserve">Washington was 1 of 8-10 pilot states selected to implement the recommendations in the recent CCSSO report, “Our Responsibility, Our Promise: Transforming Educator Preparation and Entry Into the Profession”.  </w:t>
            </w:r>
          </w:p>
          <w:p w:rsidR="00204D82" w:rsidRDefault="00F127B9" w:rsidP="00F127B9">
            <w:pPr>
              <w:rPr>
                <w:color w:val="1F497D"/>
              </w:rPr>
            </w:pPr>
            <w:r>
              <w:t xml:space="preserve">Here is a link to the report: </w:t>
            </w:r>
            <w:hyperlink r:id="rId32" w:history="1">
              <w:r>
                <w:rPr>
                  <w:rStyle w:val="Hyperlink"/>
                </w:rPr>
                <w:t>http://www.ccsso.org/Documents/2012/Our%20Responsibility%20Our%20Promise_2012.pdf</w:t>
              </w:r>
            </w:hyperlink>
            <w:r>
              <w:t xml:space="preserve">  </w:t>
            </w:r>
          </w:p>
        </w:tc>
        <w:tc>
          <w:tcPr>
            <w:tcW w:w="1800" w:type="dxa"/>
          </w:tcPr>
          <w:p w:rsidR="00204D82" w:rsidRDefault="00204D82" w:rsidP="00F127B9">
            <w:r>
              <w:t>PESB</w:t>
            </w:r>
          </w:p>
        </w:tc>
        <w:tc>
          <w:tcPr>
            <w:tcW w:w="1980" w:type="dxa"/>
          </w:tcPr>
          <w:p w:rsidR="00204D82" w:rsidRDefault="00F127B9">
            <w:r>
              <w:t>OSPI, Governor’s Office, WEA</w:t>
            </w:r>
          </w:p>
        </w:tc>
        <w:tc>
          <w:tcPr>
            <w:tcW w:w="5332" w:type="dxa"/>
          </w:tcPr>
          <w:p w:rsidR="002561C9" w:rsidRDefault="006872BD" w:rsidP="002561C9">
            <w:pPr>
              <w:pStyle w:val="ListParagraph"/>
              <w:numPr>
                <w:ilvl w:val="0"/>
                <w:numId w:val="19"/>
              </w:numPr>
              <w:shd w:val="clear" w:color="auto" w:fill="FFFFFF"/>
              <w:spacing w:before="100" w:beforeAutospacing="1" w:after="100" w:afterAutospacing="1"/>
            </w:pPr>
            <w:r>
              <w:t>Equip teachers and principals</w:t>
            </w:r>
            <w:r w:rsidR="002561C9">
              <w:t xml:space="preserve"> with the content and pedagogical knowledge and skills to improve student achievement, growth, and outcomes</w:t>
            </w:r>
          </w:p>
        </w:tc>
        <w:tc>
          <w:tcPr>
            <w:tcW w:w="1778" w:type="dxa"/>
          </w:tcPr>
          <w:p w:rsidR="00204D82" w:rsidRDefault="00204D82"/>
        </w:tc>
        <w:tc>
          <w:tcPr>
            <w:tcW w:w="1642" w:type="dxa"/>
          </w:tcPr>
          <w:p w:rsidR="00204D82" w:rsidRDefault="00855DC8" w:rsidP="003723FC">
            <w:r>
              <w:t>CCSSO</w:t>
            </w:r>
          </w:p>
        </w:tc>
      </w:tr>
      <w:tr w:rsidR="00AC1A8C" w:rsidRPr="00DD7CED" w:rsidTr="006123DB">
        <w:tc>
          <w:tcPr>
            <w:tcW w:w="6768" w:type="dxa"/>
          </w:tcPr>
          <w:p w:rsidR="00AC1A8C" w:rsidRDefault="00AC1A8C" w:rsidP="003D3EFB">
            <w:pPr>
              <w:rPr>
                <w:b/>
              </w:rPr>
            </w:pPr>
            <w:r>
              <w:rPr>
                <w:b/>
              </w:rPr>
              <w:t xml:space="preserve">Running Start </w:t>
            </w:r>
            <w:r w:rsidR="00FA1B39">
              <w:rPr>
                <w:b/>
              </w:rPr>
              <w:t>law-rule review work group</w:t>
            </w:r>
          </w:p>
          <w:p w:rsidR="00D153D0" w:rsidRDefault="00D153D0" w:rsidP="003D3EFB">
            <w:pPr>
              <w:rPr>
                <w:b/>
              </w:rPr>
            </w:pPr>
          </w:p>
          <w:p w:rsidR="00D153D0" w:rsidRPr="003D3EFB" w:rsidRDefault="00D153D0" w:rsidP="003D3EFB">
            <w:r>
              <w:t>A work group that r</w:t>
            </w:r>
            <w:r w:rsidRPr="003D3EFB">
              <w:t>eview</w:t>
            </w:r>
            <w:r>
              <w:t>s and revises</w:t>
            </w:r>
            <w:r w:rsidRPr="003D3EFB">
              <w:t xml:space="preserve"> Running Start rules </w:t>
            </w:r>
          </w:p>
        </w:tc>
        <w:tc>
          <w:tcPr>
            <w:tcW w:w="1800" w:type="dxa"/>
          </w:tcPr>
          <w:p w:rsidR="00AC1A8C" w:rsidRDefault="00FA1B39">
            <w:r>
              <w:t>OSPI</w:t>
            </w:r>
          </w:p>
        </w:tc>
        <w:tc>
          <w:tcPr>
            <w:tcW w:w="1980" w:type="dxa"/>
          </w:tcPr>
          <w:p w:rsidR="00AC1A8C" w:rsidRDefault="00FA1B39">
            <w:r>
              <w:t>SBE, AGO, SBCTC, WSAC</w:t>
            </w:r>
          </w:p>
        </w:tc>
        <w:tc>
          <w:tcPr>
            <w:tcW w:w="5332" w:type="dxa"/>
          </w:tcPr>
          <w:p w:rsidR="00AC1A8C" w:rsidRDefault="00D153D0">
            <w:pPr>
              <w:numPr>
                <w:ilvl w:val="0"/>
                <w:numId w:val="5"/>
              </w:numPr>
              <w:shd w:val="clear" w:color="auto" w:fill="FFFFFF"/>
              <w:spacing w:before="100" w:beforeAutospacing="1" w:after="100" w:afterAutospacing="1"/>
            </w:pPr>
            <w:r>
              <w:t>To bring Running Start Rules into alignment with practice</w:t>
            </w:r>
          </w:p>
        </w:tc>
        <w:tc>
          <w:tcPr>
            <w:tcW w:w="1778" w:type="dxa"/>
          </w:tcPr>
          <w:p w:rsidR="00AC1A8C" w:rsidRDefault="00AC1A8C"/>
        </w:tc>
        <w:tc>
          <w:tcPr>
            <w:tcW w:w="1642" w:type="dxa"/>
          </w:tcPr>
          <w:p w:rsidR="00AC1A8C" w:rsidRDefault="00AC1A8C" w:rsidP="003723FC"/>
        </w:tc>
      </w:tr>
      <w:tr w:rsidR="00CE0B92" w:rsidRPr="00DD7CED" w:rsidTr="006123DB">
        <w:tc>
          <w:tcPr>
            <w:tcW w:w="6768" w:type="dxa"/>
          </w:tcPr>
          <w:p w:rsidR="00CE0B92" w:rsidRDefault="00CE0B92" w:rsidP="00C45C3C">
            <w:pPr>
              <w:rPr>
                <w:b/>
              </w:rPr>
            </w:pPr>
            <w:r>
              <w:rPr>
                <w:b/>
              </w:rPr>
              <w:t>Results WA</w:t>
            </w:r>
          </w:p>
          <w:p w:rsidR="00CE0B92" w:rsidRDefault="00F72DFC" w:rsidP="00C45C3C">
            <w:pPr>
              <w:rPr>
                <w:b/>
              </w:rPr>
            </w:pPr>
            <w:hyperlink r:id="rId33" w:history="1">
              <w:r w:rsidR="00CE0B92" w:rsidRPr="007E693A">
                <w:rPr>
                  <w:rStyle w:val="Hyperlink"/>
                  <w:b/>
                </w:rPr>
                <w:t>http://www.results.wa.gov/</w:t>
              </w:r>
            </w:hyperlink>
          </w:p>
          <w:p w:rsidR="00CE0B92" w:rsidRDefault="00CE0B92" w:rsidP="00C45C3C">
            <w:pPr>
              <w:rPr>
                <w:b/>
              </w:rPr>
            </w:pPr>
          </w:p>
          <w:p w:rsidR="00CE0B92" w:rsidRDefault="000837F1" w:rsidP="00C45C3C">
            <w:pPr>
              <w:rPr>
                <w:b/>
              </w:rPr>
            </w:pPr>
            <w:r>
              <w:rPr>
                <w:b/>
              </w:rPr>
              <w:t xml:space="preserve">Goal #1: World-class </w:t>
            </w:r>
            <w:r w:rsidR="00CE0B92">
              <w:rPr>
                <w:b/>
              </w:rPr>
              <w:t>education</w:t>
            </w:r>
          </w:p>
          <w:p w:rsidR="00CE0B92" w:rsidRDefault="00CE0B92" w:rsidP="00C45C3C">
            <w:pPr>
              <w:rPr>
                <w:b/>
              </w:rPr>
            </w:pPr>
          </w:p>
        </w:tc>
        <w:tc>
          <w:tcPr>
            <w:tcW w:w="1800" w:type="dxa"/>
          </w:tcPr>
          <w:p w:rsidR="00CE0B92" w:rsidRDefault="00CE0B92">
            <w:r>
              <w:t>Governor’s Office</w:t>
            </w:r>
          </w:p>
        </w:tc>
        <w:tc>
          <w:tcPr>
            <w:tcW w:w="1980" w:type="dxa"/>
          </w:tcPr>
          <w:p w:rsidR="00CE0B92" w:rsidRDefault="00CE0B92"/>
        </w:tc>
        <w:tc>
          <w:tcPr>
            <w:tcW w:w="5332" w:type="dxa"/>
          </w:tcPr>
          <w:p w:rsidR="00CE0B92" w:rsidRDefault="00CE0B92" w:rsidP="00A75E0C">
            <w:pPr>
              <w:shd w:val="clear" w:color="auto" w:fill="FFFFFF"/>
              <w:spacing w:before="100" w:beforeAutospacing="1" w:after="100" w:afterAutospacing="1"/>
            </w:pPr>
            <w:r>
              <w:t>Access:</w:t>
            </w:r>
          </w:p>
          <w:p w:rsidR="00CE0B92" w:rsidRDefault="00CE0B92" w:rsidP="00CE0B92">
            <w:pPr>
              <w:numPr>
                <w:ilvl w:val="0"/>
                <w:numId w:val="16"/>
              </w:numPr>
              <w:shd w:val="clear" w:color="auto" w:fill="FFFFFF"/>
              <w:spacing w:before="100" w:beforeAutospacing="1" w:after="100" w:afterAutospacing="1"/>
            </w:pPr>
            <w:r>
              <w:t>Increase the percentage of children enrolled in high-quality early learning programs</w:t>
            </w:r>
          </w:p>
          <w:p w:rsidR="00CE0B92" w:rsidRDefault="00CE0B92" w:rsidP="00CE0B92">
            <w:pPr>
              <w:numPr>
                <w:ilvl w:val="0"/>
                <w:numId w:val="16"/>
              </w:numPr>
              <w:shd w:val="clear" w:color="auto" w:fill="FFFFFF"/>
              <w:spacing w:before="100" w:beforeAutospacing="1" w:after="100" w:afterAutospacing="1"/>
            </w:pPr>
            <w:r>
              <w:t>Increase the percentage of schools rated exemplary or very good on the Washington School Achievement Index</w:t>
            </w:r>
          </w:p>
          <w:p w:rsidR="00CE0B92" w:rsidRDefault="00CE0B92" w:rsidP="00CE0B92">
            <w:pPr>
              <w:numPr>
                <w:ilvl w:val="0"/>
                <w:numId w:val="16"/>
              </w:numPr>
              <w:shd w:val="clear" w:color="auto" w:fill="FFFFFF"/>
              <w:spacing w:before="100" w:beforeAutospacing="1" w:after="100" w:afterAutospacing="1"/>
            </w:pPr>
            <w:r>
              <w:t xml:space="preserve">Increase the percentage of the population enrolled in certificate, credential, </w:t>
            </w:r>
            <w:r>
              <w:lastRenderedPageBreak/>
              <w:t>apprenticeship, and degree programs</w:t>
            </w:r>
          </w:p>
          <w:p w:rsidR="00CE0B92" w:rsidRDefault="00CE0B92" w:rsidP="00A75E0C">
            <w:pPr>
              <w:shd w:val="clear" w:color="auto" w:fill="FFFFFF"/>
              <w:spacing w:before="100" w:beforeAutospacing="1" w:after="100" w:afterAutospacing="1"/>
            </w:pPr>
            <w:r>
              <w:t>Success:</w:t>
            </w:r>
          </w:p>
          <w:p w:rsidR="00CE0B92" w:rsidRDefault="00CE0B92" w:rsidP="00CE0B92">
            <w:pPr>
              <w:numPr>
                <w:ilvl w:val="0"/>
                <w:numId w:val="16"/>
              </w:numPr>
              <w:shd w:val="clear" w:color="auto" w:fill="FFFFFF"/>
              <w:spacing w:before="100" w:beforeAutospacing="1" w:after="100" w:afterAutospacing="1" w:line="276" w:lineRule="auto"/>
            </w:pPr>
            <w:r>
              <w:t>Increase the percentage of children entering kindergarten who demonstrate they are ready</w:t>
            </w:r>
          </w:p>
          <w:p w:rsidR="00CE0B92" w:rsidRDefault="00CE0B92" w:rsidP="00CE0B92">
            <w:pPr>
              <w:numPr>
                <w:ilvl w:val="0"/>
                <w:numId w:val="16"/>
              </w:numPr>
              <w:shd w:val="clear" w:color="auto" w:fill="FFFFFF"/>
              <w:spacing w:before="100" w:beforeAutospacing="1" w:after="100" w:afterAutospacing="1"/>
            </w:pPr>
            <w:r>
              <w:t>Increase the percentage of K-12 students who score proficient or better on statewide exams and graduate college and career ready</w:t>
            </w:r>
          </w:p>
          <w:p w:rsidR="00C63110" w:rsidRDefault="00CE0B92" w:rsidP="00A75E0C">
            <w:pPr>
              <w:numPr>
                <w:ilvl w:val="0"/>
                <w:numId w:val="16"/>
              </w:numPr>
              <w:shd w:val="clear" w:color="auto" w:fill="FFFFFF"/>
              <w:spacing w:before="100" w:beforeAutospacing="1" w:after="100" w:afterAutospacing="1"/>
            </w:pPr>
            <w:r>
              <w:t>Increase education attainment of certificates, credentials, apprenticeships and degrees</w:t>
            </w:r>
          </w:p>
        </w:tc>
        <w:tc>
          <w:tcPr>
            <w:tcW w:w="1778" w:type="dxa"/>
          </w:tcPr>
          <w:p w:rsidR="00CE0B92" w:rsidRDefault="00CE0B92"/>
        </w:tc>
        <w:tc>
          <w:tcPr>
            <w:tcW w:w="1642" w:type="dxa"/>
          </w:tcPr>
          <w:p w:rsidR="00CE0B92" w:rsidRDefault="00CE0B92" w:rsidP="003723FC"/>
        </w:tc>
      </w:tr>
    </w:tbl>
    <w:p w:rsidR="00463930" w:rsidRPr="00DD7CED" w:rsidRDefault="00F72DFC"/>
    <w:sectPr w:rsidR="00463930" w:rsidRPr="00DD7CED" w:rsidSect="00DD7CED">
      <w:headerReference w:type="even" r:id="rId34"/>
      <w:headerReference w:type="default" r:id="rId35"/>
      <w:footerReference w:type="even" r:id="rId36"/>
      <w:footerReference w:type="default" r:id="rId37"/>
      <w:headerReference w:type="first" r:id="rId38"/>
      <w:footerReference w:type="first" r:id="rId39"/>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016" w:rsidRDefault="00BA6016" w:rsidP="004D2CAA">
      <w:pPr>
        <w:spacing w:after="0" w:line="240" w:lineRule="auto"/>
      </w:pPr>
      <w:r>
        <w:separator/>
      </w:r>
    </w:p>
  </w:endnote>
  <w:endnote w:type="continuationSeparator" w:id="0">
    <w:p w:rsidR="00BA6016" w:rsidRDefault="00BA6016" w:rsidP="004D2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CAA" w:rsidRDefault="004D2C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CAA" w:rsidRDefault="004D2C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CAA" w:rsidRDefault="004D2C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016" w:rsidRDefault="00BA6016" w:rsidP="004D2CAA">
      <w:pPr>
        <w:spacing w:after="0" w:line="240" w:lineRule="auto"/>
      </w:pPr>
      <w:r>
        <w:separator/>
      </w:r>
    </w:p>
  </w:footnote>
  <w:footnote w:type="continuationSeparator" w:id="0">
    <w:p w:rsidR="00BA6016" w:rsidRDefault="00BA6016" w:rsidP="004D2C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CAA" w:rsidRDefault="004D2C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CAA" w:rsidRDefault="004D2C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CAA" w:rsidRDefault="004D2C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4F9B"/>
    <w:multiLevelType w:val="hybridMultilevel"/>
    <w:tmpl w:val="5D6C4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FA02E1"/>
    <w:multiLevelType w:val="hybridMultilevel"/>
    <w:tmpl w:val="3A1A5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36940"/>
    <w:multiLevelType w:val="hybridMultilevel"/>
    <w:tmpl w:val="03E26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446721"/>
    <w:multiLevelType w:val="hybridMultilevel"/>
    <w:tmpl w:val="A090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425ADF"/>
    <w:multiLevelType w:val="hybridMultilevel"/>
    <w:tmpl w:val="EC5C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324FB9"/>
    <w:multiLevelType w:val="hybridMultilevel"/>
    <w:tmpl w:val="6D7A3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F239B0"/>
    <w:multiLevelType w:val="hybridMultilevel"/>
    <w:tmpl w:val="912E3E0E"/>
    <w:lvl w:ilvl="0" w:tplc="2C368A3E">
      <w:start w:val="1"/>
      <w:numFmt w:val="decimal"/>
      <w:lvlText w:val="%1."/>
      <w:lvlJc w:val="left"/>
      <w:pPr>
        <w:tabs>
          <w:tab w:val="num" w:pos="720"/>
        </w:tabs>
        <w:ind w:left="720" w:hanging="360"/>
      </w:pPr>
    </w:lvl>
    <w:lvl w:ilvl="1" w:tplc="CCC67480" w:tentative="1">
      <w:start w:val="1"/>
      <w:numFmt w:val="decimal"/>
      <w:lvlText w:val="%2."/>
      <w:lvlJc w:val="left"/>
      <w:pPr>
        <w:tabs>
          <w:tab w:val="num" w:pos="1440"/>
        </w:tabs>
        <w:ind w:left="1440" w:hanging="360"/>
      </w:pPr>
    </w:lvl>
    <w:lvl w:ilvl="2" w:tplc="E4E48E96" w:tentative="1">
      <w:start w:val="1"/>
      <w:numFmt w:val="decimal"/>
      <w:lvlText w:val="%3."/>
      <w:lvlJc w:val="left"/>
      <w:pPr>
        <w:tabs>
          <w:tab w:val="num" w:pos="2160"/>
        </w:tabs>
        <w:ind w:left="2160" w:hanging="360"/>
      </w:pPr>
    </w:lvl>
    <w:lvl w:ilvl="3" w:tplc="9FD42DFC" w:tentative="1">
      <w:start w:val="1"/>
      <w:numFmt w:val="decimal"/>
      <w:lvlText w:val="%4."/>
      <w:lvlJc w:val="left"/>
      <w:pPr>
        <w:tabs>
          <w:tab w:val="num" w:pos="2880"/>
        </w:tabs>
        <w:ind w:left="2880" w:hanging="360"/>
      </w:pPr>
    </w:lvl>
    <w:lvl w:ilvl="4" w:tplc="67F6B694" w:tentative="1">
      <w:start w:val="1"/>
      <w:numFmt w:val="decimal"/>
      <w:lvlText w:val="%5."/>
      <w:lvlJc w:val="left"/>
      <w:pPr>
        <w:tabs>
          <w:tab w:val="num" w:pos="3600"/>
        </w:tabs>
        <w:ind w:left="3600" w:hanging="360"/>
      </w:pPr>
    </w:lvl>
    <w:lvl w:ilvl="5" w:tplc="D520D710" w:tentative="1">
      <w:start w:val="1"/>
      <w:numFmt w:val="decimal"/>
      <w:lvlText w:val="%6."/>
      <w:lvlJc w:val="left"/>
      <w:pPr>
        <w:tabs>
          <w:tab w:val="num" w:pos="4320"/>
        </w:tabs>
        <w:ind w:left="4320" w:hanging="360"/>
      </w:pPr>
    </w:lvl>
    <w:lvl w:ilvl="6" w:tplc="0884148A" w:tentative="1">
      <w:start w:val="1"/>
      <w:numFmt w:val="decimal"/>
      <w:lvlText w:val="%7."/>
      <w:lvlJc w:val="left"/>
      <w:pPr>
        <w:tabs>
          <w:tab w:val="num" w:pos="5040"/>
        </w:tabs>
        <w:ind w:left="5040" w:hanging="360"/>
      </w:pPr>
    </w:lvl>
    <w:lvl w:ilvl="7" w:tplc="3EF81A4E" w:tentative="1">
      <w:start w:val="1"/>
      <w:numFmt w:val="decimal"/>
      <w:lvlText w:val="%8."/>
      <w:lvlJc w:val="left"/>
      <w:pPr>
        <w:tabs>
          <w:tab w:val="num" w:pos="5760"/>
        </w:tabs>
        <w:ind w:left="5760" w:hanging="360"/>
      </w:pPr>
    </w:lvl>
    <w:lvl w:ilvl="8" w:tplc="8BC6B30E" w:tentative="1">
      <w:start w:val="1"/>
      <w:numFmt w:val="decimal"/>
      <w:lvlText w:val="%9."/>
      <w:lvlJc w:val="left"/>
      <w:pPr>
        <w:tabs>
          <w:tab w:val="num" w:pos="6480"/>
        </w:tabs>
        <w:ind w:left="6480" w:hanging="360"/>
      </w:pPr>
    </w:lvl>
  </w:abstractNum>
  <w:abstractNum w:abstractNumId="7">
    <w:nsid w:val="33B73447"/>
    <w:multiLevelType w:val="hybridMultilevel"/>
    <w:tmpl w:val="94A6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370F2E"/>
    <w:multiLevelType w:val="hybridMultilevel"/>
    <w:tmpl w:val="12021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7209D1"/>
    <w:multiLevelType w:val="hybridMultilevel"/>
    <w:tmpl w:val="7736B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8D17C4"/>
    <w:multiLevelType w:val="hybridMultilevel"/>
    <w:tmpl w:val="EA66E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4B72AE"/>
    <w:multiLevelType w:val="hybridMultilevel"/>
    <w:tmpl w:val="8EF24990"/>
    <w:lvl w:ilvl="0" w:tplc="9776FE26">
      <w:start w:val="1"/>
      <w:numFmt w:val="decimal"/>
      <w:lvlText w:val="%1)"/>
      <w:lvlJc w:val="left"/>
      <w:pPr>
        <w:tabs>
          <w:tab w:val="num" w:pos="720"/>
        </w:tabs>
        <w:ind w:left="720" w:hanging="360"/>
      </w:pPr>
    </w:lvl>
    <w:lvl w:ilvl="1" w:tplc="8AC04A28" w:tentative="1">
      <w:start w:val="1"/>
      <w:numFmt w:val="decimal"/>
      <w:lvlText w:val="%2)"/>
      <w:lvlJc w:val="left"/>
      <w:pPr>
        <w:tabs>
          <w:tab w:val="num" w:pos="1440"/>
        </w:tabs>
        <w:ind w:left="1440" w:hanging="360"/>
      </w:pPr>
    </w:lvl>
    <w:lvl w:ilvl="2" w:tplc="5126AF32" w:tentative="1">
      <w:start w:val="1"/>
      <w:numFmt w:val="decimal"/>
      <w:lvlText w:val="%3)"/>
      <w:lvlJc w:val="left"/>
      <w:pPr>
        <w:tabs>
          <w:tab w:val="num" w:pos="2160"/>
        </w:tabs>
        <w:ind w:left="2160" w:hanging="360"/>
      </w:pPr>
    </w:lvl>
    <w:lvl w:ilvl="3" w:tplc="BA78326C" w:tentative="1">
      <w:start w:val="1"/>
      <w:numFmt w:val="decimal"/>
      <w:lvlText w:val="%4)"/>
      <w:lvlJc w:val="left"/>
      <w:pPr>
        <w:tabs>
          <w:tab w:val="num" w:pos="2880"/>
        </w:tabs>
        <w:ind w:left="2880" w:hanging="360"/>
      </w:pPr>
    </w:lvl>
    <w:lvl w:ilvl="4" w:tplc="D9C01672" w:tentative="1">
      <w:start w:val="1"/>
      <w:numFmt w:val="decimal"/>
      <w:lvlText w:val="%5)"/>
      <w:lvlJc w:val="left"/>
      <w:pPr>
        <w:tabs>
          <w:tab w:val="num" w:pos="3600"/>
        </w:tabs>
        <w:ind w:left="3600" w:hanging="360"/>
      </w:pPr>
    </w:lvl>
    <w:lvl w:ilvl="5" w:tplc="9B5C902A" w:tentative="1">
      <w:start w:val="1"/>
      <w:numFmt w:val="decimal"/>
      <w:lvlText w:val="%6)"/>
      <w:lvlJc w:val="left"/>
      <w:pPr>
        <w:tabs>
          <w:tab w:val="num" w:pos="4320"/>
        </w:tabs>
        <w:ind w:left="4320" w:hanging="360"/>
      </w:pPr>
    </w:lvl>
    <w:lvl w:ilvl="6" w:tplc="39A27196" w:tentative="1">
      <w:start w:val="1"/>
      <w:numFmt w:val="decimal"/>
      <w:lvlText w:val="%7)"/>
      <w:lvlJc w:val="left"/>
      <w:pPr>
        <w:tabs>
          <w:tab w:val="num" w:pos="5040"/>
        </w:tabs>
        <w:ind w:left="5040" w:hanging="360"/>
      </w:pPr>
    </w:lvl>
    <w:lvl w:ilvl="7" w:tplc="FCA4A91E" w:tentative="1">
      <w:start w:val="1"/>
      <w:numFmt w:val="decimal"/>
      <w:lvlText w:val="%8)"/>
      <w:lvlJc w:val="left"/>
      <w:pPr>
        <w:tabs>
          <w:tab w:val="num" w:pos="5760"/>
        </w:tabs>
        <w:ind w:left="5760" w:hanging="360"/>
      </w:pPr>
    </w:lvl>
    <w:lvl w:ilvl="8" w:tplc="7656333C" w:tentative="1">
      <w:start w:val="1"/>
      <w:numFmt w:val="decimal"/>
      <w:lvlText w:val="%9)"/>
      <w:lvlJc w:val="left"/>
      <w:pPr>
        <w:tabs>
          <w:tab w:val="num" w:pos="6480"/>
        </w:tabs>
        <w:ind w:left="6480" w:hanging="360"/>
      </w:pPr>
    </w:lvl>
  </w:abstractNum>
  <w:abstractNum w:abstractNumId="12">
    <w:nsid w:val="53F527B1"/>
    <w:multiLevelType w:val="hybridMultilevel"/>
    <w:tmpl w:val="BE566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387682"/>
    <w:multiLevelType w:val="hybridMultilevel"/>
    <w:tmpl w:val="503C6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4F001F"/>
    <w:multiLevelType w:val="hybridMultilevel"/>
    <w:tmpl w:val="C0C60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BC5643"/>
    <w:multiLevelType w:val="hybridMultilevel"/>
    <w:tmpl w:val="A1B2D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6766DA"/>
    <w:multiLevelType w:val="hybridMultilevel"/>
    <w:tmpl w:val="E69C69E6"/>
    <w:lvl w:ilvl="0" w:tplc="073A914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F50101"/>
    <w:multiLevelType w:val="hybridMultilevel"/>
    <w:tmpl w:val="5F885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9A397E"/>
    <w:multiLevelType w:val="hybridMultilevel"/>
    <w:tmpl w:val="B6021530"/>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19">
    <w:nsid w:val="743A3238"/>
    <w:multiLevelType w:val="hybridMultilevel"/>
    <w:tmpl w:val="C172DC3C"/>
    <w:lvl w:ilvl="0" w:tplc="073A914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4FB1E89"/>
    <w:multiLevelType w:val="hybridMultilevel"/>
    <w:tmpl w:val="540A772E"/>
    <w:lvl w:ilvl="0" w:tplc="04090001">
      <w:start w:val="1"/>
      <w:numFmt w:val="bullet"/>
      <w:lvlText w:val=""/>
      <w:lvlJc w:val="left"/>
      <w:pPr>
        <w:tabs>
          <w:tab w:val="num" w:pos="720"/>
        </w:tabs>
        <w:ind w:left="720" w:hanging="360"/>
      </w:pPr>
      <w:rPr>
        <w:rFonts w:ascii="Symbol" w:hAnsi="Symbol" w:hint="default"/>
      </w:rPr>
    </w:lvl>
    <w:lvl w:ilvl="1" w:tplc="8AC04A28" w:tentative="1">
      <w:start w:val="1"/>
      <w:numFmt w:val="decimal"/>
      <w:lvlText w:val="%2)"/>
      <w:lvlJc w:val="left"/>
      <w:pPr>
        <w:tabs>
          <w:tab w:val="num" w:pos="1440"/>
        </w:tabs>
        <w:ind w:left="1440" w:hanging="360"/>
      </w:pPr>
    </w:lvl>
    <w:lvl w:ilvl="2" w:tplc="5126AF32" w:tentative="1">
      <w:start w:val="1"/>
      <w:numFmt w:val="decimal"/>
      <w:lvlText w:val="%3)"/>
      <w:lvlJc w:val="left"/>
      <w:pPr>
        <w:tabs>
          <w:tab w:val="num" w:pos="2160"/>
        </w:tabs>
        <w:ind w:left="2160" w:hanging="360"/>
      </w:pPr>
    </w:lvl>
    <w:lvl w:ilvl="3" w:tplc="BA78326C" w:tentative="1">
      <w:start w:val="1"/>
      <w:numFmt w:val="decimal"/>
      <w:lvlText w:val="%4)"/>
      <w:lvlJc w:val="left"/>
      <w:pPr>
        <w:tabs>
          <w:tab w:val="num" w:pos="2880"/>
        </w:tabs>
        <w:ind w:left="2880" w:hanging="360"/>
      </w:pPr>
    </w:lvl>
    <w:lvl w:ilvl="4" w:tplc="D9C01672" w:tentative="1">
      <w:start w:val="1"/>
      <w:numFmt w:val="decimal"/>
      <w:lvlText w:val="%5)"/>
      <w:lvlJc w:val="left"/>
      <w:pPr>
        <w:tabs>
          <w:tab w:val="num" w:pos="3600"/>
        </w:tabs>
        <w:ind w:left="3600" w:hanging="360"/>
      </w:pPr>
    </w:lvl>
    <w:lvl w:ilvl="5" w:tplc="9B5C902A" w:tentative="1">
      <w:start w:val="1"/>
      <w:numFmt w:val="decimal"/>
      <w:lvlText w:val="%6)"/>
      <w:lvlJc w:val="left"/>
      <w:pPr>
        <w:tabs>
          <w:tab w:val="num" w:pos="4320"/>
        </w:tabs>
        <w:ind w:left="4320" w:hanging="360"/>
      </w:pPr>
    </w:lvl>
    <w:lvl w:ilvl="6" w:tplc="39A27196" w:tentative="1">
      <w:start w:val="1"/>
      <w:numFmt w:val="decimal"/>
      <w:lvlText w:val="%7)"/>
      <w:lvlJc w:val="left"/>
      <w:pPr>
        <w:tabs>
          <w:tab w:val="num" w:pos="5040"/>
        </w:tabs>
        <w:ind w:left="5040" w:hanging="360"/>
      </w:pPr>
    </w:lvl>
    <w:lvl w:ilvl="7" w:tplc="FCA4A91E" w:tentative="1">
      <w:start w:val="1"/>
      <w:numFmt w:val="decimal"/>
      <w:lvlText w:val="%8)"/>
      <w:lvlJc w:val="left"/>
      <w:pPr>
        <w:tabs>
          <w:tab w:val="num" w:pos="5760"/>
        </w:tabs>
        <w:ind w:left="5760" w:hanging="360"/>
      </w:pPr>
    </w:lvl>
    <w:lvl w:ilvl="8" w:tplc="7656333C" w:tentative="1">
      <w:start w:val="1"/>
      <w:numFmt w:val="decimal"/>
      <w:lvlText w:val="%9)"/>
      <w:lvlJc w:val="left"/>
      <w:pPr>
        <w:tabs>
          <w:tab w:val="num" w:pos="6480"/>
        </w:tabs>
        <w:ind w:left="6480" w:hanging="360"/>
      </w:pPr>
    </w:lvl>
  </w:abstractNum>
  <w:abstractNum w:abstractNumId="21">
    <w:nsid w:val="7529715F"/>
    <w:multiLevelType w:val="hybridMultilevel"/>
    <w:tmpl w:val="4B2C3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1E3803"/>
    <w:multiLevelType w:val="hybridMultilevel"/>
    <w:tmpl w:val="F832201A"/>
    <w:lvl w:ilvl="0" w:tplc="8D7EAAB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9DE0263"/>
    <w:multiLevelType w:val="multilevel"/>
    <w:tmpl w:val="6396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8643FD"/>
    <w:multiLevelType w:val="hybridMultilevel"/>
    <w:tmpl w:val="294A8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8"/>
  </w:num>
  <w:num w:numId="4">
    <w:abstractNumId w:val="0"/>
  </w:num>
  <w:num w:numId="5">
    <w:abstractNumId w:val="3"/>
  </w:num>
  <w:num w:numId="6">
    <w:abstractNumId w:val="13"/>
  </w:num>
  <w:num w:numId="7">
    <w:abstractNumId w:val="15"/>
  </w:num>
  <w:num w:numId="8">
    <w:abstractNumId w:val="19"/>
  </w:num>
  <w:num w:numId="9">
    <w:abstractNumId w:val="16"/>
  </w:num>
  <w:num w:numId="10">
    <w:abstractNumId w:val="11"/>
  </w:num>
  <w:num w:numId="11">
    <w:abstractNumId w:val="20"/>
  </w:num>
  <w:num w:numId="12">
    <w:abstractNumId w:val="21"/>
  </w:num>
  <w:num w:numId="13">
    <w:abstractNumId w:val="12"/>
  </w:num>
  <w:num w:numId="14">
    <w:abstractNumId w:val="23"/>
  </w:num>
  <w:num w:numId="15">
    <w:abstractNumId w:val="4"/>
  </w:num>
  <w:num w:numId="16">
    <w:abstractNumId w:val="24"/>
  </w:num>
  <w:num w:numId="17">
    <w:abstractNumId w:val="1"/>
  </w:num>
  <w:num w:numId="18">
    <w:abstractNumId w:val="7"/>
  </w:num>
  <w:num w:numId="19">
    <w:abstractNumId w:val="18"/>
  </w:num>
  <w:num w:numId="20">
    <w:abstractNumId w:val="14"/>
  </w:num>
  <w:num w:numId="21">
    <w:abstractNumId w:val="10"/>
  </w:num>
  <w:num w:numId="22">
    <w:abstractNumId w:val="9"/>
  </w:num>
  <w:num w:numId="23">
    <w:abstractNumId w:val="17"/>
  </w:num>
  <w:num w:numId="24">
    <w:abstractNumId w:val="6"/>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1A1"/>
    <w:rsid w:val="00022A62"/>
    <w:rsid w:val="000450C1"/>
    <w:rsid w:val="000837F1"/>
    <w:rsid w:val="0008489B"/>
    <w:rsid w:val="000A4248"/>
    <w:rsid w:val="000D0CFE"/>
    <w:rsid w:val="000D5387"/>
    <w:rsid w:val="001019EA"/>
    <w:rsid w:val="00113EC5"/>
    <w:rsid w:val="00124153"/>
    <w:rsid w:val="001673C0"/>
    <w:rsid w:val="00185EB8"/>
    <w:rsid w:val="00204D82"/>
    <w:rsid w:val="002561C9"/>
    <w:rsid w:val="00310D1B"/>
    <w:rsid w:val="00321389"/>
    <w:rsid w:val="00326D75"/>
    <w:rsid w:val="0033647F"/>
    <w:rsid w:val="003453A3"/>
    <w:rsid w:val="003723FC"/>
    <w:rsid w:val="003A479F"/>
    <w:rsid w:val="003D3EFB"/>
    <w:rsid w:val="003E03FE"/>
    <w:rsid w:val="003E1168"/>
    <w:rsid w:val="00421F26"/>
    <w:rsid w:val="00433316"/>
    <w:rsid w:val="00451B21"/>
    <w:rsid w:val="004766D9"/>
    <w:rsid w:val="00477034"/>
    <w:rsid w:val="004A341F"/>
    <w:rsid w:val="004C24B6"/>
    <w:rsid w:val="004D14B2"/>
    <w:rsid w:val="004D2CAA"/>
    <w:rsid w:val="004D355F"/>
    <w:rsid w:val="005245E4"/>
    <w:rsid w:val="00524795"/>
    <w:rsid w:val="005B316A"/>
    <w:rsid w:val="005D460F"/>
    <w:rsid w:val="005E5818"/>
    <w:rsid w:val="00600AE8"/>
    <w:rsid w:val="006123DB"/>
    <w:rsid w:val="00630056"/>
    <w:rsid w:val="0066496B"/>
    <w:rsid w:val="006872BD"/>
    <w:rsid w:val="006D1481"/>
    <w:rsid w:val="006E5E4B"/>
    <w:rsid w:val="007165F6"/>
    <w:rsid w:val="007E6222"/>
    <w:rsid w:val="007F7131"/>
    <w:rsid w:val="00813BD1"/>
    <w:rsid w:val="0085042A"/>
    <w:rsid w:val="00855DC8"/>
    <w:rsid w:val="00865E80"/>
    <w:rsid w:val="0087154A"/>
    <w:rsid w:val="00892FC5"/>
    <w:rsid w:val="00924554"/>
    <w:rsid w:val="00925AE3"/>
    <w:rsid w:val="00981967"/>
    <w:rsid w:val="009A2B3F"/>
    <w:rsid w:val="009F016A"/>
    <w:rsid w:val="00A00318"/>
    <w:rsid w:val="00A35043"/>
    <w:rsid w:val="00A532FE"/>
    <w:rsid w:val="00A556D7"/>
    <w:rsid w:val="00A75E0C"/>
    <w:rsid w:val="00A77791"/>
    <w:rsid w:val="00AC1A8C"/>
    <w:rsid w:val="00AE1574"/>
    <w:rsid w:val="00B01825"/>
    <w:rsid w:val="00B03628"/>
    <w:rsid w:val="00B03C55"/>
    <w:rsid w:val="00B12717"/>
    <w:rsid w:val="00B216F7"/>
    <w:rsid w:val="00B93E91"/>
    <w:rsid w:val="00BA6016"/>
    <w:rsid w:val="00BA7CF4"/>
    <w:rsid w:val="00BC2D2E"/>
    <w:rsid w:val="00BD32D2"/>
    <w:rsid w:val="00BE56AF"/>
    <w:rsid w:val="00C31F8F"/>
    <w:rsid w:val="00C45C3C"/>
    <w:rsid w:val="00C5269A"/>
    <w:rsid w:val="00C63110"/>
    <w:rsid w:val="00C81C08"/>
    <w:rsid w:val="00CE0B92"/>
    <w:rsid w:val="00D10EF3"/>
    <w:rsid w:val="00D153D0"/>
    <w:rsid w:val="00D340E5"/>
    <w:rsid w:val="00D34CB4"/>
    <w:rsid w:val="00DD01A1"/>
    <w:rsid w:val="00DD7CED"/>
    <w:rsid w:val="00DE55F4"/>
    <w:rsid w:val="00DF799E"/>
    <w:rsid w:val="00DF7DE7"/>
    <w:rsid w:val="00E20538"/>
    <w:rsid w:val="00E40656"/>
    <w:rsid w:val="00E41F31"/>
    <w:rsid w:val="00E54BCE"/>
    <w:rsid w:val="00E9346E"/>
    <w:rsid w:val="00ED018A"/>
    <w:rsid w:val="00ED4BAC"/>
    <w:rsid w:val="00EF18DA"/>
    <w:rsid w:val="00F127B9"/>
    <w:rsid w:val="00F72DFC"/>
    <w:rsid w:val="00FA1B39"/>
    <w:rsid w:val="00FA2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E5E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E6222"/>
    <w:pPr>
      <w:keepNext/>
      <w:keepLines/>
      <w:spacing w:before="200" w:after="0" w:line="240" w:lineRule="auto"/>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0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24795"/>
    <w:rPr>
      <w:color w:val="0000FF"/>
      <w:u w:val="single"/>
    </w:rPr>
  </w:style>
  <w:style w:type="character" w:customStyle="1" w:styleId="Heading3Char">
    <w:name w:val="Heading 3 Char"/>
    <w:basedOn w:val="DefaultParagraphFont"/>
    <w:link w:val="Heading3"/>
    <w:uiPriority w:val="9"/>
    <w:rsid w:val="007E6222"/>
    <w:rPr>
      <w:rFonts w:asciiTheme="majorHAnsi" w:eastAsiaTheme="majorEastAsia" w:hAnsiTheme="majorHAnsi" w:cstheme="majorBidi"/>
      <w:b/>
      <w:bCs/>
      <w:color w:val="4F81BD" w:themeColor="accent1"/>
    </w:rPr>
  </w:style>
  <w:style w:type="paragraph" w:styleId="ListParagraph">
    <w:name w:val="List Paragraph"/>
    <w:basedOn w:val="Normal"/>
    <w:link w:val="ListParagraphChar"/>
    <w:uiPriority w:val="34"/>
    <w:qFormat/>
    <w:rsid w:val="007E6222"/>
    <w:pPr>
      <w:ind w:left="720"/>
      <w:contextualSpacing/>
    </w:pPr>
  </w:style>
  <w:style w:type="paragraph" w:styleId="BalloonText">
    <w:name w:val="Balloon Text"/>
    <w:basedOn w:val="Normal"/>
    <w:link w:val="BalloonTextChar"/>
    <w:uiPriority w:val="99"/>
    <w:semiHidden/>
    <w:unhideWhenUsed/>
    <w:rsid w:val="00022A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A62"/>
    <w:rPr>
      <w:rFonts w:ascii="Tahoma" w:hAnsi="Tahoma" w:cs="Tahoma"/>
      <w:sz w:val="16"/>
      <w:szCs w:val="16"/>
    </w:rPr>
  </w:style>
  <w:style w:type="character" w:styleId="Strong">
    <w:name w:val="Strong"/>
    <w:basedOn w:val="DefaultParagraphFont"/>
    <w:uiPriority w:val="22"/>
    <w:qFormat/>
    <w:rsid w:val="00600AE8"/>
    <w:rPr>
      <w:b/>
      <w:bCs/>
    </w:rPr>
  </w:style>
  <w:style w:type="character" w:customStyle="1" w:styleId="apple-converted-space">
    <w:name w:val="apple-converted-space"/>
    <w:basedOn w:val="DefaultParagraphFont"/>
    <w:rsid w:val="00B03C55"/>
  </w:style>
  <w:style w:type="character" w:customStyle="1" w:styleId="Heading2Char">
    <w:name w:val="Heading 2 Char"/>
    <w:basedOn w:val="DefaultParagraphFont"/>
    <w:link w:val="Heading2"/>
    <w:uiPriority w:val="9"/>
    <w:semiHidden/>
    <w:rsid w:val="006E5E4B"/>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153D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D2C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CAA"/>
  </w:style>
  <w:style w:type="paragraph" w:styleId="Footer">
    <w:name w:val="footer"/>
    <w:basedOn w:val="Normal"/>
    <w:link w:val="FooterChar"/>
    <w:uiPriority w:val="99"/>
    <w:unhideWhenUsed/>
    <w:rsid w:val="004D2C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CAA"/>
  </w:style>
  <w:style w:type="character" w:customStyle="1" w:styleId="ListParagraphChar">
    <w:name w:val="List Paragraph Char"/>
    <w:basedOn w:val="DefaultParagraphFont"/>
    <w:link w:val="ListParagraph"/>
    <w:uiPriority w:val="34"/>
    <w:rsid w:val="000D5387"/>
  </w:style>
  <w:style w:type="character" w:styleId="CommentReference">
    <w:name w:val="annotation reference"/>
    <w:basedOn w:val="DefaultParagraphFont"/>
    <w:uiPriority w:val="99"/>
    <w:semiHidden/>
    <w:unhideWhenUsed/>
    <w:rsid w:val="009F016A"/>
    <w:rPr>
      <w:sz w:val="16"/>
      <w:szCs w:val="16"/>
    </w:rPr>
  </w:style>
  <w:style w:type="paragraph" w:styleId="CommentText">
    <w:name w:val="annotation text"/>
    <w:basedOn w:val="Normal"/>
    <w:link w:val="CommentTextChar"/>
    <w:uiPriority w:val="99"/>
    <w:semiHidden/>
    <w:unhideWhenUsed/>
    <w:rsid w:val="009F016A"/>
    <w:pPr>
      <w:spacing w:line="240" w:lineRule="auto"/>
    </w:pPr>
    <w:rPr>
      <w:sz w:val="20"/>
      <w:szCs w:val="20"/>
    </w:rPr>
  </w:style>
  <w:style w:type="character" w:customStyle="1" w:styleId="CommentTextChar">
    <w:name w:val="Comment Text Char"/>
    <w:basedOn w:val="DefaultParagraphFont"/>
    <w:link w:val="CommentText"/>
    <w:uiPriority w:val="99"/>
    <w:semiHidden/>
    <w:rsid w:val="009F016A"/>
    <w:rPr>
      <w:sz w:val="20"/>
      <w:szCs w:val="20"/>
    </w:rPr>
  </w:style>
  <w:style w:type="paragraph" w:styleId="CommentSubject">
    <w:name w:val="annotation subject"/>
    <w:basedOn w:val="CommentText"/>
    <w:next w:val="CommentText"/>
    <w:link w:val="CommentSubjectChar"/>
    <w:uiPriority w:val="99"/>
    <w:semiHidden/>
    <w:unhideWhenUsed/>
    <w:rsid w:val="009F016A"/>
    <w:rPr>
      <w:b/>
      <w:bCs/>
    </w:rPr>
  </w:style>
  <w:style w:type="character" w:customStyle="1" w:styleId="CommentSubjectChar">
    <w:name w:val="Comment Subject Char"/>
    <w:basedOn w:val="CommentTextChar"/>
    <w:link w:val="CommentSubject"/>
    <w:uiPriority w:val="99"/>
    <w:semiHidden/>
    <w:rsid w:val="009F016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E5E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E6222"/>
    <w:pPr>
      <w:keepNext/>
      <w:keepLines/>
      <w:spacing w:before="200" w:after="0" w:line="240" w:lineRule="auto"/>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0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24795"/>
    <w:rPr>
      <w:color w:val="0000FF"/>
      <w:u w:val="single"/>
    </w:rPr>
  </w:style>
  <w:style w:type="character" w:customStyle="1" w:styleId="Heading3Char">
    <w:name w:val="Heading 3 Char"/>
    <w:basedOn w:val="DefaultParagraphFont"/>
    <w:link w:val="Heading3"/>
    <w:uiPriority w:val="9"/>
    <w:rsid w:val="007E6222"/>
    <w:rPr>
      <w:rFonts w:asciiTheme="majorHAnsi" w:eastAsiaTheme="majorEastAsia" w:hAnsiTheme="majorHAnsi" w:cstheme="majorBidi"/>
      <w:b/>
      <w:bCs/>
      <w:color w:val="4F81BD" w:themeColor="accent1"/>
    </w:rPr>
  </w:style>
  <w:style w:type="paragraph" w:styleId="ListParagraph">
    <w:name w:val="List Paragraph"/>
    <w:basedOn w:val="Normal"/>
    <w:link w:val="ListParagraphChar"/>
    <w:uiPriority w:val="34"/>
    <w:qFormat/>
    <w:rsid w:val="007E6222"/>
    <w:pPr>
      <w:ind w:left="720"/>
      <w:contextualSpacing/>
    </w:pPr>
  </w:style>
  <w:style w:type="paragraph" w:styleId="BalloonText">
    <w:name w:val="Balloon Text"/>
    <w:basedOn w:val="Normal"/>
    <w:link w:val="BalloonTextChar"/>
    <w:uiPriority w:val="99"/>
    <w:semiHidden/>
    <w:unhideWhenUsed/>
    <w:rsid w:val="00022A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A62"/>
    <w:rPr>
      <w:rFonts w:ascii="Tahoma" w:hAnsi="Tahoma" w:cs="Tahoma"/>
      <w:sz w:val="16"/>
      <w:szCs w:val="16"/>
    </w:rPr>
  </w:style>
  <w:style w:type="character" w:styleId="Strong">
    <w:name w:val="Strong"/>
    <w:basedOn w:val="DefaultParagraphFont"/>
    <w:uiPriority w:val="22"/>
    <w:qFormat/>
    <w:rsid w:val="00600AE8"/>
    <w:rPr>
      <w:b/>
      <w:bCs/>
    </w:rPr>
  </w:style>
  <w:style w:type="character" w:customStyle="1" w:styleId="apple-converted-space">
    <w:name w:val="apple-converted-space"/>
    <w:basedOn w:val="DefaultParagraphFont"/>
    <w:rsid w:val="00B03C55"/>
  </w:style>
  <w:style w:type="character" w:customStyle="1" w:styleId="Heading2Char">
    <w:name w:val="Heading 2 Char"/>
    <w:basedOn w:val="DefaultParagraphFont"/>
    <w:link w:val="Heading2"/>
    <w:uiPriority w:val="9"/>
    <w:semiHidden/>
    <w:rsid w:val="006E5E4B"/>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153D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D2C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CAA"/>
  </w:style>
  <w:style w:type="paragraph" w:styleId="Footer">
    <w:name w:val="footer"/>
    <w:basedOn w:val="Normal"/>
    <w:link w:val="FooterChar"/>
    <w:uiPriority w:val="99"/>
    <w:unhideWhenUsed/>
    <w:rsid w:val="004D2C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CAA"/>
  </w:style>
  <w:style w:type="character" w:customStyle="1" w:styleId="ListParagraphChar">
    <w:name w:val="List Paragraph Char"/>
    <w:basedOn w:val="DefaultParagraphFont"/>
    <w:link w:val="ListParagraph"/>
    <w:uiPriority w:val="34"/>
    <w:rsid w:val="000D5387"/>
  </w:style>
  <w:style w:type="character" w:styleId="CommentReference">
    <w:name w:val="annotation reference"/>
    <w:basedOn w:val="DefaultParagraphFont"/>
    <w:uiPriority w:val="99"/>
    <w:semiHidden/>
    <w:unhideWhenUsed/>
    <w:rsid w:val="009F016A"/>
    <w:rPr>
      <w:sz w:val="16"/>
      <w:szCs w:val="16"/>
    </w:rPr>
  </w:style>
  <w:style w:type="paragraph" w:styleId="CommentText">
    <w:name w:val="annotation text"/>
    <w:basedOn w:val="Normal"/>
    <w:link w:val="CommentTextChar"/>
    <w:uiPriority w:val="99"/>
    <w:semiHidden/>
    <w:unhideWhenUsed/>
    <w:rsid w:val="009F016A"/>
    <w:pPr>
      <w:spacing w:line="240" w:lineRule="auto"/>
    </w:pPr>
    <w:rPr>
      <w:sz w:val="20"/>
      <w:szCs w:val="20"/>
    </w:rPr>
  </w:style>
  <w:style w:type="character" w:customStyle="1" w:styleId="CommentTextChar">
    <w:name w:val="Comment Text Char"/>
    <w:basedOn w:val="DefaultParagraphFont"/>
    <w:link w:val="CommentText"/>
    <w:uiPriority w:val="99"/>
    <w:semiHidden/>
    <w:rsid w:val="009F016A"/>
    <w:rPr>
      <w:sz w:val="20"/>
      <w:szCs w:val="20"/>
    </w:rPr>
  </w:style>
  <w:style w:type="paragraph" w:styleId="CommentSubject">
    <w:name w:val="annotation subject"/>
    <w:basedOn w:val="CommentText"/>
    <w:next w:val="CommentText"/>
    <w:link w:val="CommentSubjectChar"/>
    <w:uiPriority w:val="99"/>
    <w:semiHidden/>
    <w:unhideWhenUsed/>
    <w:rsid w:val="009F016A"/>
    <w:rPr>
      <w:b/>
      <w:bCs/>
    </w:rPr>
  </w:style>
  <w:style w:type="character" w:customStyle="1" w:styleId="CommentSubjectChar">
    <w:name w:val="Comment Subject Char"/>
    <w:basedOn w:val="CommentTextChar"/>
    <w:link w:val="CommentSubject"/>
    <w:uiPriority w:val="99"/>
    <w:semiHidden/>
    <w:rsid w:val="009F01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5795">
      <w:bodyDiv w:val="1"/>
      <w:marLeft w:val="0"/>
      <w:marRight w:val="0"/>
      <w:marTop w:val="0"/>
      <w:marBottom w:val="0"/>
      <w:divBdr>
        <w:top w:val="none" w:sz="0" w:space="0" w:color="auto"/>
        <w:left w:val="none" w:sz="0" w:space="0" w:color="auto"/>
        <w:bottom w:val="none" w:sz="0" w:space="0" w:color="auto"/>
        <w:right w:val="none" w:sz="0" w:space="0" w:color="auto"/>
      </w:divBdr>
    </w:div>
    <w:div w:id="100414794">
      <w:bodyDiv w:val="1"/>
      <w:marLeft w:val="0"/>
      <w:marRight w:val="0"/>
      <w:marTop w:val="0"/>
      <w:marBottom w:val="0"/>
      <w:divBdr>
        <w:top w:val="none" w:sz="0" w:space="0" w:color="auto"/>
        <w:left w:val="none" w:sz="0" w:space="0" w:color="auto"/>
        <w:bottom w:val="none" w:sz="0" w:space="0" w:color="auto"/>
        <w:right w:val="none" w:sz="0" w:space="0" w:color="auto"/>
      </w:divBdr>
      <w:divsChild>
        <w:div w:id="943196221">
          <w:marLeft w:val="806"/>
          <w:marRight w:val="0"/>
          <w:marTop w:val="154"/>
          <w:marBottom w:val="0"/>
          <w:divBdr>
            <w:top w:val="none" w:sz="0" w:space="0" w:color="auto"/>
            <w:left w:val="none" w:sz="0" w:space="0" w:color="auto"/>
            <w:bottom w:val="none" w:sz="0" w:space="0" w:color="auto"/>
            <w:right w:val="none" w:sz="0" w:space="0" w:color="auto"/>
          </w:divBdr>
        </w:div>
        <w:div w:id="1774204114">
          <w:marLeft w:val="806"/>
          <w:marRight w:val="0"/>
          <w:marTop w:val="154"/>
          <w:marBottom w:val="0"/>
          <w:divBdr>
            <w:top w:val="none" w:sz="0" w:space="0" w:color="auto"/>
            <w:left w:val="none" w:sz="0" w:space="0" w:color="auto"/>
            <w:bottom w:val="none" w:sz="0" w:space="0" w:color="auto"/>
            <w:right w:val="none" w:sz="0" w:space="0" w:color="auto"/>
          </w:divBdr>
        </w:div>
      </w:divsChild>
    </w:div>
    <w:div w:id="327908236">
      <w:bodyDiv w:val="1"/>
      <w:marLeft w:val="0"/>
      <w:marRight w:val="0"/>
      <w:marTop w:val="0"/>
      <w:marBottom w:val="0"/>
      <w:divBdr>
        <w:top w:val="none" w:sz="0" w:space="0" w:color="auto"/>
        <w:left w:val="none" w:sz="0" w:space="0" w:color="auto"/>
        <w:bottom w:val="none" w:sz="0" w:space="0" w:color="auto"/>
        <w:right w:val="none" w:sz="0" w:space="0" w:color="auto"/>
      </w:divBdr>
      <w:divsChild>
        <w:div w:id="687828947">
          <w:marLeft w:val="0"/>
          <w:marRight w:val="0"/>
          <w:marTop w:val="450"/>
          <w:marBottom w:val="0"/>
          <w:divBdr>
            <w:top w:val="none" w:sz="0" w:space="0" w:color="auto"/>
            <w:left w:val="none" w:sz="0" w:space="0" w:color="auto"/>
            <w:bottom w:val="none" w:sz="0" w:space="0" w:color="auto"/>
            <w:right w:val="none" w:sz="0" w:space="0" w:color="auto"/>
          </w:divBdr>
          <w:divsChild>
            <w:div w:id="1122379299">
              <w:marLeft w:val="0"/>
              <w:marRight w:val="0"/>
              <w:marTop w:val="0"/>
              <w:marBottom w:val="0"/>
              <w:divBdr>
                <w:top w:val="none" w:sz="0" w:space="0" w:color="auto"/>
                <w:left w:val="none" w:sz="0" w:space="0" w:color="auto"/>
                <w:bottom w:val="none" w:sz="0" w:space="0" w:color="auto"/>
                <w:right w:val="none" w:sz="0" w:space="0" w:color="auto"/>
              </w:divBdr>
              <w:divsChild>
                <w:div w:id="493570702">
                  <w:marLeft w:val="0"/>
                  <w:marRight w:val="-3000"/>
                  <w:marTop w:val="0"/>
                  <w:marBottom w:val="0"/>
                  <w:divBdr>
                    <w:top w:val="none" w:sz="0" w:space="0" w:color="auto"/>
                    <w:left w:val="none" w:sz="0" w:space="0" w:color="auto"/>
                    <w:bottom w:val="none" w:sz="0" w:space="0" w:color="auto"/>
                    <w:right w:val="none" w:sz="0" w:space="0" w:color="auto"/>
                  </w:divBdr>
                  <w:divsChild>
                    <w:div w:id="1772701078">
                      <w:marLeft w:val="0"/>
                      <w:marRight w:val="3000"/>
                      <w:marTop w:val="0"/>
                      <w:marBottom w:val="0"/>
                      <w:divBdr>
                        <w:top w:val="none" w:sz="0" w:space="0" w:color="auto"/>
                        <w:left w:val="none" w:sz="0" w:space="0" w:color="auto"/>
                        <w:bottom w:val="none" w:sz="0" w:space="0" w:color="auto"/>
                        <w:right w:val="none" w:sz="0" w:space="0" w:color="auto"/>
                      </w:divBdr>
                      <w:divsChild>
                        <w:div w:id="1645618031">
                          <w:marLeft w:val="0"/>
                          <w:marRight w:val="0"/>
                          <w:marTop w:val="0"/>
                          <w:marBottom w:val="0"/>
                          <w:divBdr>
                            <w:top w:val="none" w:sz="0" w:space="0" w:color="auto"/>
                            <w:left w:val="none" w:sz="0" w:space="0" w:color="auto"/>
                            <w:bottom w:val="none" w:sz="0" w:space="0" w:color="auto"/>
                            <w:right w:val="none" w:sz="0" w:space="0" w:color="auto"/>
                          </w:divBdr>
                          <w:divsChild>
                            <w:div w:id="1427770738">
                              <w:marLeft w:val="0"/>
                              <w:marRight w:val="0"/>
                              <w:marTop w:val="0"/>
                              <w:marBottom w:val="0"/>
                              <w:divBdr>
                                <w:top w:val="none" w:sz="0" w:space="0" w:color="auto"/>
                                <w:left w:val="none" w:sz="0" w:space="0" w:color="auto"/>
                                <w:bottom w:val="none" w:sz="0" w:space="0" w:color="auto"/>
                                <w:right w:val="none" w:sz="0" w:space="0" w:color="auto"/>
                              </w:divBdr>
                              <w:divsChild>
                                <w:div w:id="257105017">
                                  <w:marLeft w:val="0"/>
                                  <w:marRight w:val="0"/>
                                  <w:marTop w:val="0"/>
                                  <w:marBottom w:val="0"/>
                                  <w:divBdr>
                                    <w:top w:val="none" w:sz="0" w:space="0" w:color="auto"/>
                                    <w:left w:val="none" w:sz="0" w:space="0" w:color="auto"/>
                                    <w:bottom w:val="none" w:sz="0" w:space="0" w:color="auto"/>
                                    <w:right w:val="none" w:sz="0" w:space="0" w:color="auto"/>
                                  </w:divBdr>
                                  <w:divsChild>
                                    <w:div w:id="1664431845">
                                      <w:marLeft w:val="0"/>
                                      <w:marRight w:val="0"/>
                                      <w:marTop w:val="0"/>
                                      <w:marBottom w:val="0"/>
                                      <w:divBdr>
                                        <w:top w:val="none" w:sz="0" w:space="0" w:color="auto"/>
                                        <w:left w:val="none" w:sz="0" w:space="0" w:color="auto"/>
                                        <w:bottom w:val="none" w:sz="0" w:space="0" w:color="auto"/>
                                        <w:right w:val="none" w:sz="0" w:space="0" w:color="auto"/>
                                      </w:divBdr>
                                      <w:divsChild>
                                        <w:div w:id="236477736">
                                          <w:marLeft w:val="0"/>
                                          <w:marRight w:val="870"/>
                                          <w:marTop w:val="0"/>
                                          <w:marBottom w:val="0"/>
                                          <w:divBdr>
                                            <w:top w:val="none" w:sz="0" w:space="0" w:color="auto"/>
                                            <w:left w:val="none" w:sz="0" w:space="0" w:color="auto"/>
                                            <w:bottom w:val="none" w:sz="0" w:space="0" w:color="auto"/>
                                            <w:right w:val="none" w:sz="0" w:space="0" w:color="auto"/>
                                          </w:divBdr>
                                          <w:divsChild>
                                            <w:div w:id="206552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622506">
      <w:bodyDiv w:val="1"/>
      <w:marLeft w:val="0"/>
      <w:marRight w:val="0"/>
      <w:marTop w:val="0"/>
      <w:marBottom w:val="0"/>
      <w:divBdr>
        <w:top w:val="none" w:sz="0" w:space="0" w:color="auto"/>
        <w:left w:val="none" w:sz="0" w:space="0" w:color="auto"/>
        <w:bottom w:val="none" w:sz="0" w:space="0" w:color="auto"/>
        <w:right w:val="none" w:sz="0" w:space="0" w:color="auto"/>
      </w:divBdr>
      <w:divsChild>
        <w:div w:id="808479479">
          <w:marLeft w:val="893"/>
          <w:marRight w:val="0"/>
          <w:marTop w:val="106"/>
          <w:marBottom w:val="0"/>
          <w:divBdr>
            <w:top w:val="none" w:sz="0" w:space="0" w:color="auto"/>
            <w:left w:val="none" w:sz="0" w:space="0" w:color="auto"/>
            <w:bottom w:val="none" w:sz="0" w:space="0" w:color="auto"/>
            <w:right w:val="none" w:sz="0" w:space="0" w:color="auto"/>
          </w:divBdr>
        </w:div>
        <w:div w:id="1231381080">
          <w:marLeft w:val="893"/>
          <w:marRight w:val="0"/>
          <w:marTop w:val="106"/>
          <w:marBottom w:val="0"/>
          <w:divBdr>
            <w:top w:val="none" w:sz="0" w:space="0" w:color="auto"/>
            <w:left w:val="none" w:sz="0" w:space="0" w:color="auto"/>
            <w:bottom w:val="none" w:sz="0" w:space="0" w:color="auto"/>
            <w:right w:val="none" w:sz="0" w:space="0" w:color="auto"/>
          </w:divBdr>
        </w:div>
        <w:div w:id="915866482">
          <w:marLeft w:val="893"/>
          <w:marRight w:val="0"/>
          <w:marTop w:val="106"/>
          <w:marBottom w:val="0"/>
          <w:divBdr>
            <w:top w:val="none" w:sz="0" w:space="0" w:color="auto"/>
            <w:left w:val="none" w:sz="0" w:space="0" w:color="auto"/>
            <w:bottom w:val="none" w:sz="0" w:space="0" w:color="auto"/>
            <w:right w:val="none" w:sz="0" w:space="0" w:color="auto"/>
          </w:divBdr>
        </w:div>
      </w:divsChild>
    </w:div>
    <w:div w:id="1072241788">
      <w:bodyDiv w:val="1"/>
      <w:marLeft w:val="0"/>
      <w:marRight w:val="0"/>
      <w:marTop w:val="0"/>
      <w:marBottom w:val="0"/>
      <w:divBdr>
        <w:top w:val="none" w:sz="0" w:space="0" w:color="auto"/>
        <w:left w:val="none" w:sz="0" w:space="0" w:color="auto"/>
        <w:bottom w:val="none" w:sz="0" w:space="0" w:color="auto"/>
        <w:right w:val="none" w:sz="0" w:space="0" w:color="auto"/>
      </w:divBdr>
    </w:div>
    <w:div w:id="1546678647">
      <w:bodyDiv w:val="1"/>
      <w:marLeft w:val="0"/>
      <w:marRight w:val="0"/>
      <w:marTop w:val="0"/>
      <w:marBottom w:val="0"/>
      <w:divBdr>
        <w:top w:val="none" w:sz="0" w:space="0" w:color="auto"/>
        <w:left w:val="none" w:sz="0" w:space="0" w:color="auto"/>
        <w:bottom w:val="none" w:sz="0" w:space="0" w:color="auto"/>
        <w:right w:val="none" w:sz="0" w:space="0" w:color="auto"/>
      </w:divBdr>
      <w:divsChild>
        <w:div w:id="847905888">
          <w:marLeft w:val="0"/>
          <w:marRight w:val="0"/>
          <w:marTop w:val="0"/>
          <w:marBottom w:val="0"/>
          <w:divBdr>
            <w:top w:val="none" w:sz="0" w:space="0" w:color="auto"/>
            <w:left w:val="none" w:sz="0" w:space="0" w:color="auto"/>
            <w:bottom w:val="none" w:sz="0" w:space="0" w:color="auto"/>
            <w:right w:val="none" w:sz="0" w:space="0" w:color="auto"/>
          </w:divBdr>
        </w:div>
      </w:divsChild>
    </w:div>
    <w:div w:id="1848447243">
      <w:bodyDiv w:val="1"/>
      <w:marLeft w:val="0"/>
      <w:marRight w:val="0"/>
      <w:marTop w:val="0"/>
      <w:marBottom w:val="0"/>
      <w:divBdr>
        <w:top w:val="none" w:sz="0" w:space="0" w:color="auto"/>
        <w:left w:val="none" w:sz="0" w:space="0" w:color="auto"/>
        <w:bottom w:val="none" w:sz="0" w:space="0" w:color="auto"/>
        <w:right w:val="none" w:sz="0" w:space="0" w:color="auto"/>
      </w:divBdr>
    </w:div>
    <w:div w:id="1893273998">
      <w:bodyDiv w:val="1"/>
      <w:marLeft w:val="0"/>
      <w:marRight w:val="0"/>
      <w:marTop w:val="0"/>
      <w:marBottom w:val="0"/>
      <w:divBdr>
        <w:top w:val="none" w:sz="0" w:space="0" w:color="auto"/>
        <w:left w:val="none" w:sz="0" w:space="0" w:color="auto"/>
        <w:bottom w:val="none" w:sz="0" w:space="0" w:color="auto"/>
        <w:right w:val="none" w:sz="0" w:space="0" w:color="auto"/>
      </w:divBdr>
    </w:div>
    <w:div w:id="213204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12.wa.us/SMARTER/default.aspx" TargetMode="External"/><Relationship Id="rId18" Type="http://schemas.openxmlformats.org/officeDocument/2006/relationships/hyperlink" Target="http://www.sbe.wa.gov/graduation.php" TargetMode="External"/><Relationship Id="rId26" Type="http://schemas.openxmlformats.org/officeDocument/2006/relationships/hyperlink" Target="http://www.sbe.wa.gov/faq/highschoolbeyondplan.php"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k12.wa.us/gate/"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k12.wa.us/Corestandards/default.aspx" TargetMode="External"/><Relationship Id="rId17" Type="http://schemas.openxmlformats.org/officeDocument/2006/relationships/hyperlink" Target="http://www.sbctc.ctc.edu/college/_g-studentsvcscomm.aspx" TargetMode="External"/><Relationship Id="rId25" Type="http://schemas.openxmlformats.org/officeDocument/2006/relationships/hyperlink" Target="http://tpep-wa.org/about-tpep/" TargetMode="External"/><Relationship Id="rId33" Type="http://schemas.openxmlformats.org/officeDocument/2006/relationships/hyperlink" Target="http://www.results.wa.gov/"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readywa.org/" TargetMode="External"/><Relationship Id="rId20" Type="http://schemas.openxmlformats.org/officeDocument/2006/relationships/hyperlink" Target="http://www.washington.edu/omad/gear-up/our-mission/" TargetMode="External"/><Relationship Id="rId29" Type="http://schemas.openxmlformats.org/officeDocument/2006/relationships/hyperlink" Target="http://www.sbe.wa.gov/aaw.php"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ckpa.org/page.aspx?pid=580" TargetMode="External"/><Relationship Id="rId24" Type="http://schemas.openxmlformats.org/officeDocument/2006/relationships/hyperlink" Target="http://www2.ed.gov/programs/sif/index.html" TargetMode="External"/><Relationship Id="rId32" Type="http://schemas.openxmlformats.org/officeDocument/2006/relationships/hyperlink" Target="http://www.ccsso.org/Documents/2012/Our%20Responsibility%20Our%20Promise_2012.pdf"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k12.wa.us/Communications/PressReleases2013/GatesFoundationGrant.aspx" TargetMode="External"/><Relationship Id="rId23" Type="http://schemas.openxmlformats.org/officeDocument/2006/relationships/hyperlink" Target="http://wa-dualcredit.wikispaces.com/" TargetMode="External"/><Relationship Id="rId28" Type="http://schemas.openxmlformats.org/officeDocument/2006/relationships/hyperlink" Target="http://www.wsac.wa.gov/Roadmap" TargetMode="External"/><Relationship Id="rId36" Type="http://schemas.openxmlformats.org/officeDocument/2006/relationships/footer" Target="footer1.xml"/><Relationship Id="rId10" Type="http://schemas.openxmlformats.org/officeDocument/2006/relationships/hyperlink" Target="http://www.sbctc.ctc.edu/college/education/core_to_college_update.pdf" TargetMode="External"/><Relationship Id="rId19" Type="http://schemas.openxmlformats.org/officeDocument/2006/relationships/hyperlink" Target="http://www.k12.wa.us/titleiia/" TargetMode="External"/><Relationship Id="rId31" Type="http://schemas.openxmlformats.org/officeDocument/2006/relationships/hyperlink" Target="http://www.washingtoncouncil.org/wcboard.htm" TargetMode="External"/><Relationship Id="rId4" Type="http://schemas.microsoft.com/office/2007/relationships/stylesWithEffects" Target="stylesWithEffects.xml"/><Relationship Id="rId9" Type="http://schemas.openxmlformats.org/officeDocument/2006/relationships/hyperlink" Target="http://improvingstudentlearningatscale.wikispaces.com/" TargetMode="External"/><Relationship Id="rId14" Type="http://schemas.openxmlformats.org/officeDocument/2006/relationships/hyperlink" Target="http://www.k12.wa.us/Science/NGSS.aspx" TargetMode="External"/><Relationship Id="rId22" Type="http://schemas.openxmlformats.org/officeDocument/2006/relationships/hyperlink" Target="http://www.esd.wa.gov/newsandinformation/releases/initiative-launched-students-career-readiness-13-049.php" TargetMode="External"/><Relationship Id="rId27" Type="http://schemas.openxmlformats.org/officeDocument/2006/relationships/hyperlink" Target="http://www.k12.wa.us/graduationrequirements/Requirement-HighSchoolBeyond.aspx" TargetMode="External"/><Relationship Id="rId30" Type="http://schemas.openxmlformats.org/officeDocument/2006/relationships/hyperlink" Target="http://apps.leg.wa.gov/billinfo/summary.aspx?bill=1872&amp;year=2013"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F3261-68BA-46A2-BDCB-79963765D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3041</Words>
  <Characters>17338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20339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Light</dc:creator>
  <cp:lastModifiedBy>Messerly, Anne (WSAC)</cp:lastModifiedBy>
  <cp:revision>4</cp:revision>
  <cp:lastPrinted>2014-03-26T23:20:00Z</cp:lastPrinted>
  <dcterms:created xsi:type="dcterms:W3CDTF">2014-03-19T23:29:00Z</dcterms:created>
  <dcterms:modified xsi:type="dcterms:W3CDTF">2014-03-26T23:25:00Z</dcterms:modified>
</cp:coreProperties>
</file>